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2610E0" w14:textId="77777777" w:rsidR="008444B0" w:rsidRPr="00656B5B" w:rsidRDefault="001D3BB5" w:rsidP="001D3BB5">
      <w:pPr>
        <w:rPr>
          <w:sz w:val="24"/>
          <w:szCs w:val="24"/>
        </w:rPr>
      </w:pPr>
      <w:bookmarkStart w:id="0" w:name="_GoBack"/>
      <w:bookmarkEnd w:id="0"/>
      <w:r w:rsidRPr="00656B5B">
        <w:rPr>
          <w:sz w:val="24"/>
          <w:szCs w:val="24"/>
        </w:rPr>
        <w:t>INTRODUCTION</w:t>
      </w:r>
    </w:p>
    <w:p w14:paraId="2F6252AB" w14:textId="77777777" w:rsidR="001D3BB5" w:rsidRPr="00656B5B" w:rsidRDefault="001D3BB5" w:rsidP="001D3BB5">
      <w:pPr>
        <w:rPr>
          <w:sz w:val="24"/>
          <w:szCs w:val="24"/>
        </w:rPr>
      </w:pPr>
      <w:r w:rsidRPr="00656B5B">
        <w:rPr>
          <w:sz w:val="24"/>
          <w:szCs w:val="24"/>
        </w:rPr>
        <w:t xml:space="preserve">Over the past two years, the University has experienced an increase in students </w:t>
      </w:r>
      <w:r w:rsidR="001A045D" w:rsidRPr="00656B5B">
        <w:rPr>
          <w:sz w:val="24"/>
          <w:szCs w:val="24"/>
        </w:rPr>
        <w:t>admitted</w:t>
      </w:r>
      <w:r w:rsidRPr="00656B5B">
        <w:rPr>
          <w:sz w:val="24"/>
          <w:szCs w:val="24"/>
        </w:rPr>
        <w:t xml:space="preserve"> to The Bridge with BACs (Blood Alcohol Content) exceeding .20 and placed in protective custody for up to 24 hours. In 2016, thirty-one students were transported to local hospitals for acute alcohol intoxication – an increase of 45% over the previous year. Neighborhoods adjacent to the campus report an increase in wild parties that disrupt their quality of life and leave their properties littered with trash and/or vandalized. Many of these problems make their way back to campus creating challenges for University Housing staff</w:t>
      </w:r>
      <w:r w:rsidR="001A045D" w:rsidRPr="00656B5B">
        <w:rPr>
          <w:sz w:val="24"/>
          <w:szCs w:val="24"/>
        </w:rPr>
        <w:t xml:space="preserve">, </w:t>
      </w:r>
      <w:r w:rsidR="00312083">
        <w:rPr>
          <w:sz w:val="24"/>
          <w:szCs w:val="24"/>
        </w:rPr>
        <w:t xml:space="preserve">Greek </w:t>
      </w:r>
      <w:r w:rsidR="001A045D" w:rsidRPr="00656B5B">
        <w:rPr>
          <w:sz w:val="24"/>
          <w:szCs w:val="24"/>
        </w:rPr>
        <w:t>house directors</w:t>
      </w:r>
      <w:r w:rsidRPr="00656B5B">
        <w:rPr>
          <w:sz w:val="24"/>
          <w:szCs w:val="24"/>
        </w:rPr>
        <w:t xml:space="preserve"> and campus law enforcement. Unfortunately, a significant percentage of these problems are associated with </w:t>
      </w:r>
      <w:r w:rsidR="001A045D" w:rsidRPr="00656B5B">
        <w:rPr>
          <w:sz w:val="24"/>
          <w:szCs w:val="24"/>
        </w:rPr>
        <w:t xml:space="preserve">social </w:t>
      </w:r>
      <w:r w:rsidRPr="00656B5B">
        <w:rPr>
          <w:sz w:val="24"/>
          <w:szCs w:val="24"/>
        </w:rPr>
        <w:t>events hosted by members of Nebraska’s Greek community.</w:t>
      </w:r>
    </w:p>
    <w:p w14:paraId="6A0A362C" w14:textId="09CC3F62" w:rsidR="001D3BB5" w:rsidRPr="00656B5B" w:rsidRDefault="001D3BB5" w:rsidP="001D3BB5">
      <w:pPr>
        <w:rPr>
          <w:sz w:val="24"/>
          <w:szCs w:val="24"/>
        </w:rPr>
      </w:pPr>
      <w:r w:rsidRPr="00656B5B">
        <w:rPr>
          <w:sz w:val="24"/>
          <w:szCs w:val="24"/>
        </w:rPr>
        <w:t>In response</w:t>
      </w:r>
      <w:r w:rsidR="00312083">
        <w:rPr>
          <w:sz w:val="24"/>
          <w:szCs w:val="24"/>
        </w:rPr>
        <w:t xml:space="preserve"> to the growing problem</w:t>
      </w:r>
      <w:r w:rsidRPr="00656B5B">
        <w:rPr>
          <w:sz w:val="24"/>
          <w:szCs w:val="24"/>
        </w:rPr>
        <w:t xml:space="preserve">, Juan Franco, University of Nebraska-Lincoln Vice Chancellor for Student Affairs, commissioned a Campus-Community Task Force charged with addressing negative behaviors associated with high-risk alcohol consumption. </w:t>
      </w:r>
      <w:r w:rsidR="00BA6C3A" w:rsidRPr="00656B5B">
        <w:rPr>
          <w:sz w:val="24"/>
          <w:szCs w:val="24"/>
        </w:rPr>
        <w:t>The Task Force is expected to develop</w:t>
      </w:r>
      <w:r w:rsidR="003715CC">
        <w:rPr>
          <w:sz w:val="24"/>
          <w:szCs w:val="24"/>
        </w:rPr>
        <w:t xml:space="preserve"> and present</w:t>
      </w:r>
      <w:r w:rsidR="00BA6C3A" w:rsidRPr="00656B5B">
        <w:rPr>
          <w:sz w:val="24"/>
          <w:szCs w:val="24"/>
        </w:rPr>
        <w:t xml:space="preserve"> a comprehensive strategic response </w:t>
      </w:r>
      <w:r w:rsidR="003715CC">
        <w:rPr>
          <w:sz w:val="24"/>
          <w:szCs w:val="24"/>
        </w:rPr>
        <w:t xml:space="preserve">to senior administrators </w:t>
      </w:r>
      <w:r w:rsidR="00BA6C3A" w:rsidRPr="00656B5B">
        <w:rPr>
          <w:sz w:val="24"/>
          <w:szCs w:val="24"/>
        </w:rPr>
        <w:t xml:space="preserve">by the end of the 2017 spring academic semester. </w:t>
      </w:r>
      <w:r w:rsidR="002478AA">
        <w:rPr>
          <w:sz w:val="24"/>
          <w:szCs w:val="24"/>
        </w:rPr>
        <w:t>The purpose of this Briefing R</w:t>
      </w:r>
      <w:r w:rsidRPr="00656B5B">
        <w:rPr>
          <w:sz w:val="24"/>
          <w:szCs w:val="24"/>
        </w:rPr>
        <w:t xml:space="preserve">eport is to provide Task Force members with the background information necessary to </w:t>
      </w:r>
      <w:r w:rsidR="00BA6C3A" w:rsidRPr="00656B5B">
        <w:rPr>
          <w:sz w:val="24"/>
          <w:szCs w:val="24"/>
        </w:rPr>
        <w:t xml:space="preserve">begin that process. </w:t>
      </w:r>
    </w:p>
    <w:p w14:paraId="24CD1DD6" w14:textId="77777777" w:rsidR="00BA6C3A" w:rsidRPr="00656B5B" w:rsidRDefault="00BA6C3A" w:rsidP="001D3BB5">
      <w:pPr>
        <w:rPr>
          <w:sz w:val="24"/>
          <w:szCs w:val="24"/>
        </w:rPr>
      </w:pPr>
      <w:r w:rsidRPr="00656B5B">
        <w:rPr>
          <w:sz w:val="24"/>
          <w:szCs w:val="24"/>
        </w:rPr>
        <w:t>OVERVIEW</w:t>
      </w:r>
    </w:p>
    <w:p w14:paraId="6BFE6B23" w14:textId="77777777" w:rsidR="00BA6C3A" w:rsidRPr="00656B5B" w:rsidRDefault="00BA6C3A" w:rsidP="001D3BB5">
      <w:pPr>
        <w:rPr>
          <w:sz w:val="24"/>
          <w:szCs w:val="24"/>
        </w:rPr>
      </w:pPr>
      <w:r w:rsidRPr="00656B5B">
        <w:rPr>
          <w:sz w:val="24"/>
          <w:szCs w:val="24"/>
        </w:rPr>
        <w:t>In 1998, the American Medical Association awarded the University one of ten “A Matter of Degree” grants funded by the Robert Wood Johnson Foundation to create a campus-community coalition, NU Directions, which would utilize environmental strategies to reduce high-risk drinking among Nebraska students. A comprehensive strategic plan of 13 goals and 60 objectives sought change through community and campus-based policies and enforcement programs, responsible hospitality practices in the retail environment, targeted programs in the neighborhoods surrounding the campus, motivational and normative feedback programs, and social norms campaigns to support culture change</w:t>
      </w:r>
      <w:r w:rsidR="008444B0">
        <w:rPr>
          <w:sz w:val="24"/>
          <w:szCs w:val="24"/>
        </w:rPr>
        <w:t xml:space="preserve"> (Newman et al., 2006)</w:t>
      </w:r>
      <w:r w:rsidRPr="00656B5B">
        <w:rPr>
          <w:sz w:val="24"/>
          <w:szCs w:val="24"/>
        </w:rPr>
        <w:t xml:space="preserve">. </w:t>
      </w:r>
    </w:p>
    <w:p w14:paraId="1A611A19" w14:textId="77777777" w:rsidR="00BA6C3A" w:rsidRPr="00656B5B" w:rsidRDefault="001A045D" w:rsidP="001D3BB5">
      <w:pPr>
        <w:rPr>
          <w:sz w:val="24"/>
          <w:szCs w:val="24"/>
        </w:rPr>
      </w:pPr>
      <w:r w:rsidRPr="00656B5B">
        <w:rPr>
          <w:sz w:val="24"/>
          <w:szCs w:val="24"/>
        </w:rPr>
        <w:t>Data collected through the 1997</w:t>
      </w:r>
      <w:r w:rsidR="00BA6C3A" w:rsidRPr="00656B5B">
        <w:rPr>
          <w:sz w:val="24"/>
          <w:szCs w:val="24"/>
        </w:rPr>
        <w:t xml:space="preserve"> Harvard School of Public Health College Alcohol Study (CAS) indicated that the University’s binge drinking rate was significantly higher than the national average (62% compared to the national average of 44%). Identified contributors to this high drinking rate included the existence of a high-profile athletics program, a large and active residential Greek system, a high density of alcohol outlets within one mile of the campus and inconsistent enforcement</w:t>
      </w:r>
      <w:r w:rsidRPr="00656B5B">
        <w:rPr>
          <w:sz w:val="24"/>
          <w:szCs w:val="24"/>
        </w:rPr>
        <w:t xml:space="preserve"> of alcohol-related laws and policies</w:t>
      </w:r>
      <w:r w:rsidR="00BA6C3A" w:rsidRPr="00656B5B">
        <w:rPr>
          <w:sz w:val="24"/>
          <w:szCs w:val="24"/>
        </w:rPr>
        <w:t xml:space="preserve"> o</w:t>
      </w:r>
      <w:r w:rsidRPr="00656B5B">
        <w:rPr>
          <w:sz w:val="24"/>
          <w:szCs w:val="24"/>
        </w:rPr>
        <w:t>n campus and in the community</w:t>
      </w:r>
      <w:r w:rsidR="00BA6C3A" w:rsidRPr="00656B5B">
        <w:rPr>
          <w:sz w:val="24"/>
          <w:szCs w:val="24"/>
        </w:rPr>
        <w:t>. CAS data also indicated a high rate of drinking among incoming first-year students, which was consistent with Youth Risk Behavior Survey dat</w:t>
      </w:r>
      <w:r w:rsidRPr="00656B5B">
        <w:rPr>
          <w:sz w:val="24"/>
          <w:szCs w:val="24"/>
        </w:rPr>
        <w:t>a (2001) showing that</w:t>
      </w:r>
      <w:r w:rsidR="00BA6C3A" w:rsidRPr="00656B5B">
        <w:rPr>
          <w:sz w:val="24"/>
          <w:szCs w:val="24"/>
        </w:rPr>
        <w:t xml:space="preserve"> Nebraska high school students had one of the highest per capita drinking rates in the country. </w:t>
      </w:r>
    </w:p>
    <w:p w14:paraId="1A32F8A4" w14:textId="047CBAA8" w:rsidR="00BA6C3A" w:rsidRPr="00656B5B" w:rsidRDefault="00BA6C3A" w:rsidP="001D3BB5">
      <w:pPr>
        <w:rPr>
          <w:sz w:val="24"/>
          <w:szCs w:val="24"/>
        </w:rPr>
      </w:pPr>
      <w:r w:rsidRPr="00656B5B">
        <w:rPr>
          <w:sz w:val="24"/>
          <w:szCs w:val="24"/>
        </w:rPr>
        <w:t>Consistent with national findings, Greek-affiliated students had drinking rates that were significantly higher than their non-Greek peers</w:t>
      </w:r>
      <w:r w:rsidR="000A570B">
        <w:rPr>
          <w:sz w:val="24"/>
          <w:szCs w:val="24"/>
        </w:rPr>
        <w:t xml:space="preserve"> (Wechsler et al., 2008)</w:t>
      </w:r>
      <w:r w:rsidRPr="00656B5B">
        <w:rPr>
          <w:sz w:val="24"/>
          <w:szCs w:val="24"/>
        </w:rPr>
        <w:t xml:space="preserve">. </w:t>
      </w:r>
      <w:r w:rsidR="00AC08A4" w:rsidRPr="00656B5B">
        <w:rPr>
          <w:sz w:val="24"/>
          <w:szCs w:val="24"/>
        </w:rPr>
        <w:t xml:space="preserve">At the time, the Greek “binge” drinking rate was 76% compared to a 62% rate among the general student population. </w:t>
      </w:r>
      <w:r w:rsidR="00AC08A4" w:rsidRPr="00656B5B">
        <w:rPr>
          <w:sz w:val="24"/>
          <w:szCs w:val="24"/>
        </w:rPr>
        <w:lastRenderedPageBreak/>
        <w:t xml:space="preserve">Though Greek-affiliated students constituted only 16% of the undergraduate population, those students comprised a disproportionate number of high-risk drinkers on campus. </w:t>
      </w:r>
    </w:p>
    <w:p w14:paraId="307970F7" w14:textId="77777777" w:rsidR="00AC08A4" w:rsidRPr="00656B5B" w:rsidRDefault="00AC08A4" w:rsidP="001D3BB5">
      <w:pPr>
        <w:rPr>
          <w:sz w:val="24"/>
          <w:szCs w:val="24"/>
        </w:rPr>
      </w:pPr>
      <w:r w:rsidRPr="00656B5B">
        <w:rPr>
          <w:sz w:val="24"/>
          <w:szCs w:val="24"/>
        </w:rPr>
        <w:t>CHANGES IN DRINKING BEHAVIORS</w:t>
      </w:r>
    </w:p>
    <w:p w14:paraId="3DEF6ED9" w14:textId="77777777" w:rsidR="00605372" w:rsidRPr="00656B5B" w:rsidRDefault="00AC08A4" w:rsidP="001D3BB5">
      <w:pPr>
        <w:rPr>
          <w:sz w:val="24"/>
          <w:szCs w:val="24"/>
        </w:rPr>
      </w:pPr>
      <w:r w:rsidRPr="00656B5B">
        <w:rPr>
          <w:sz w:val="24"/>
          <w:szCs w:val="24"/>
        </w:rPr>
        <w:t xml:space="preserve">Figure 1 shows the overall </w:t>
      </w:r>
      <w:r w:rsidR="001A045D" w:rsidRPr="00656B5B">
        <w:rPr>
          <w:sz w:val="24"/>
          <w:szCs w:val="24"/>
        </w:rPr>
        <w:t>binge-drinking</w:t>
      </w:r>
      <w:r w:rsidRPr="00656B5B">
        <w:rPr>
          <w:sz w:val="24"/>
          <w:szCs w:val="24"/>
        </w:rPr>
        <w:t xml:space="preserve"> rate (five of more drinks for men and four or more drinks for women</w:t>
      </w:r>
      <w:r w:rsidR="00605372" w:rsidRPr="00656B5B">
        <w:rPr>
          <w:sz w:val="24"/>
          <w:szCs w:val="24"/>
        </w:rPr>
        <w:t>)</w:t>
      </w:r>
      <w:r w:rsidRPr="00656B5B">
        <w:rPr>
          <w:sz w:val="24"/>
          <w:szCs w:val="24"/>
        </w:rPr>
        <w:t xml:space="preserve"> per drinking session across all survey years. The percentage of Nebraska students who binged on at least one occasion in the past 2 weeks dropped from 62% in 1997 to</w:t>
      </w:r>
      <w:r w:rsidR="001A045D" w:rsidRPr="00656B5B">
        <w:rPr>
          <w:sz w:val="24"/>
          <w:szCs w:val="24"/>
        </w:rPr>
        <w:t xml:space="preserve"> 38% in 2015. This 24% change was</w:t>
      </w:r>
      <w:r w:rsidRPr="00656B5B">
        <w:rPr>
          <w:sz w:val="24"/>
          <w:szCs w:val="24"/>
        </w:rPr>
        <w:t xml:space="preserve"> statistically significant</w:t>
      </w:r>
      <w:r w:rsidR="001B2402" w:rsidRPr="00656B5B">
        <w:rPr>
          <w:sz w:val="24"/>
          <w:szCs w:val="24"/>
        </w:rPr>
        <w:t xml:space="preserve"> and places Nebraska student drinking rates at or below the current national average</w:t>
      </w:r>
      <w:r w:rsidR="001A045D" w:rsidRPr="00656B5B">
        <w:rPr>
          <w:sz w:val="24"/>
          <w:szCs w:val="24"/>
        </w:rPr>
        <w:t xml:space="preserve">. </w:t>
      </w:r>
      <w:r w:rsidR="00605372" w:rsidRPr="00656B5B">
        <w:rPr>
          <w:sz w:val="24"/>
          <w:szCs w:val="24"/>
        </w:rPr>
        <w:t>Of those students who reported binge drinking in the 2015 survey, 25% reported binge drinking 1-2 times and 12% reported binge drinking 3 or more times in a two-week period.</w:t>
      </w:r>
    </w:p>
    <w:p w14:paraId="257C60BD" w14:textId="77777777" w:rsidR="00AC08A4" w:rsidRPr="00656B5B" w:rsidRDefault="001A045D" w:rsidP="001D3BB5">
      <w:pPr>
        <w:rPr>
          <w:sz w:val="24"/>
          <w:szCs w:val="24"/>
        </w:rPr>
      </w:pPr>
      <w:r w:rsidRPr="00656B5B">
        <w:rPr>
          <w:sz w:val="24"/>
          <w:szCs w:val="24"/>
        </w:rPr>
        <w:t>In addition to binge</w:t>
      </w:r>
      <w:r w:rsidR="00AC08A4" w:rsidRPr="00656B5B">
        <w:rPr>
          <w:sz w:val="24"/>
          <w:szCs w:val="24"/>
        </w:rPr>
        <w:t xml:space="preserve"> and other high-risk drinking, the coalition placed considerable emphasis on reducing harms associated with drinking. There was a statistically significant decrease in the alcohol-related problems experienced by students including missing a class, getting behind in work or school, memory loss, regret, unplanned sexual activity</w:t>
      </w:r>
      <w:r w:rsidR="00174654">
        <w:rPr>
          <w:sz w:val="24"/>
          <w:szCs w:val="24"/>
        </w:rPr>
        <w:t>, injury</w:t>
      </w:r>
      <w:r w:rsidR="00AC08A4" w:rsidRPr="00656B5B">
        <w:rPr>
          <w:sz w:val="24"/>
          <w:szCs w:val="24"/>
        </w:rPr>
        <w:t xml:space="preserve"> and/or physical assault. </w:t>
      </w:r>
    </w:p>
    <w:p w14:paraId="2F97E756" w14:textId="77777777" w:rsidR="00AC08A4" w:rsidRDefault="00AC08A4" w:rsidP="001D3BB5">
      <w:r w:rsidRPr="00A11697">
        <w:rPr>
          <w:noProof/>
        </w:rPr>
        <w:drawing>
          <wp:inline distT="0" distB="0" distL="0" distR="0" wp14:anchorId="601797CB" wp14:editId="042720D0">
            <wp:extent cx="5943600" cy="33020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71929C51" w14:textId="77777777" w:rsidR="00AC08A4" w:rsidRPr="007B634B" w:rsidRDefault="00AC08A4" w:rsidP="00AC08A4">
      <w:pPr>
        <w:jc w:val="right"/>
        <w:rPr>
          <w:sz w:val="18"/>
          <w:szCs w:val="18"/>
        </w:rPr>
      </w:pPr>
      <w:r w:rsidRPr="007B634B">
        <w:rPr>
          <w:sz w:val="18"/>
          <w:szCs w:val="18"/>
        </w:rPr>
        <w:t>Figure 1. University of Nebraska-Lincoln Student Binge Rate 1993 – 2015</w:t>
      </w:r>
    </w:p>
    <w:p w14:paraId="2083B39B" w14:textId="127E3554" w:rsidR="00E0288C" w:rsidRPr="00656B5B" w:rsidRDefault="00E0288C" w:rsidP="00E0288C">
      <w:pPr>
        <w:rPr>
          <w:sz w:val="24"/>
          <w:szCs w:val="24"/>
        </w:rPr>
      </w:pPr>
      <w:r w:rsidRPr="00656B5B">
        <w:rPr>
          <w:sz w:val="24"/>
          <w:szCs w:val="24"/>
        </w:rPr>
        <w:t xml:space="preserve">While the </w:t>
      </w:r>
      <w:r w:rsidR="00AA3443" w:rsidRPr="00656B5B">
        <w:rPr>
          <w:sz w:val="24"/>
          <w:szCs w:val="24"/>
        </w:rPr>
        <w:t>overall student bin</w:t>
      </w:r>
      <w:r w:rsidR="00312083">
        <w:rPr>
          <w:sz w:val="24"/>
          <w:szCs w:val="24"/>
        </w:rPr>
        <w:t>ge rate declined steadily over</w:t>
      </w:r>
      <w:r w:rsidR="00AA3443" w:rsidRPr="00656B5B">
        <w:rPr>
          <w:sz w:val="24"/>
          <w:szCs w:val="24"/>
        </w:rPr>
        <w:t xml:space="preserve"> the last 20 years, the campus has yet to realize similar gains amon</w:t>
      </w:r>
      <w:r w:rsidR="001B2402" w:rsidRPr="00656B5B">
        <w:rPr>
          <w:sz w:val="24"/>
          <w:szCs w:val="24"/>
        </w:rPr>
        <w:t>g the Nebraska Greek community. As shown in Figure 2, data collected as part of the 2015 Bystander Intervention Survey, suggests that University fraternity and sorority binge rates, 63% and 62% respectively, are significantly higher than other student groups on the UNL campus and well above the campus binge rate of 38%</w:t>
      </w:r>
      <w:r w:rsidR="00583F40" w:rsidRPr="00656B5B">
        <w:rPr>
          <w:sz w:val="24"/>
          <w:szCs w:val="24"/>
        </w:rPr>
        <w:t>. F</w:t>
      </w:r>
      <w:r w:rsidR="001B2402" w:rsidRPr="00656B5B">
        <w:rPr>
          <w:sz w:val="24"/>
          <w:szCs w:val="24"/>
        </w:rPr>
        <w:t>aith-based g</w:t>
      </w:r>
      <w:r w:rsidR="00583F40" w:rsidRPr="00656B5B">
        <w:rPr>
          <w:sz w:val="24"/>
          <w:szCs w:val="24"/>
        </w:rPr>
        <w:t>roups (31%), recognized student organizations (37%), and sport clubs (37%)</w:t>
      </w:r>
      <w:r w:rsidR="001B2402" w:rsidRPr="00656B5B">
        <w:rPr>
          <w:sz w:val="24"/>
          <w:szCs w:val="24"/>
        </w:rPr>
        <w:t xml:space="preserve"> </w:t>
      </w:r>
      <w:r w:rsidR="00583F40" w:rsidRPr="00656B5B">
        <w:rPr>
          <w:sz w:val="24"/>
          <w:szCs w:val="24"/>
        </w:rPr>
        <w:t xml:space="preserve">report binge rates that </w:t>
      </w:r>
      <w:r w:rsidR="00583F40" w:rsidRPr="00656B5B">
        <w:rPr>
          <w:sz w:val="24"/>
          <w:szCs w:val="24"/>
        </w:rPr>
        <w:lastRenderedPageBreak/>
        <w:t xml:space="preserve">are at or </w:t>
      </w:r>
      <w:r w:rsidR="001B2402" w:rsidRPr="00656B5B">
        <w:rPr>
          <w:sz w:val="24"/>
          <w:szCs w:val="24"/>
        </w:rPr>
        <w:t>below the campus average</w:t>
      </w:r>
      <w:r w:rsidR="00583F40" w:rsidRPr="00656B5B">
        <w:rPr>
          <w:sz w:val="24"/>
          <w:szCs w:val="24"/>
        </w:rPr>
        <w:t xml:space="preserve"> of 38%</w:t>
      </w:r>
      <w:r w:rsidR="001B2402" w:rsidRPr="00656B5B">
        <w:rPr>
          <w:sz w:val="24"/>
          <w:szCs w:val="24"/>
        </w:rPr>
        <w:t>.</w:t>
      </w:r>
      <w:r w:rsidR="00174654">
        <w:rPr>
          <w:sz w:val="24"/>
          <w:szCs w:val="24"/>
        </w:rPr>
        <w:t xml:space="preserve"> Intramural sport clubs, many of which are populated with Greek members, report a binge rate of 44%. Altho</w:t>
      </w:r>
      <w:r w:rsidR="00312083">
        <w:rPr>
          <w:sz w:val="24"/>
          <w:szCs w:val="24"/>
        </w:rPr>
        <w:t xml:space="preserve">ugh the number of </w:t>
      </w:r>
      <w:r w:rsidR="008444B0">
        <w:rPr>
          <w:sz w:val="24"/>
          <w:szCs w:val="24"/>
        </w:rPr>
        <w:t xml:space="preserve">Greek </w:t>
      </w:r>
      <w:r w:rsidR="00312083">
        <w:rPr>
          <w:sz w:val="24"/>
          <w:szCs w:val="24"/>
        </w:rPr>
        <w:t>respondents was</w:t>
      </w:r>
      <w:r w:rsidR="00174654">
        <w:rPr>
          <w:sz w:val="24"/>
          <w:szCs w:val="24"/>
        </w:rPr>
        <w:t xml:space="preserve"> relatively </w:t>
      </w:r>
      <w:r w:rsidR="00312083">
        <w:rPr>
          <w:sz w:val="24"/>
          <w:szCs w:val="24"/>
        </w:rPr>
        <w:t>low</w:t>
      </w:r>
      <w:r w:rsidR="008444B0">
        <w:rPr>
          <w:sz w:val="24"/>
          <w:szCs w:val="24"/>
        </w:rPr>
        <w:t xml:space="preserve"> (N=199)</w:t>
      </w:r>
      <w:r w:rsidR="002478AA">
        <w:rPr>
          <w:sz w:val="24"/>
          <w:szCs w:val="24"/>
        </w:rPr>
        <w:t>, the Bystander S</w:t>
      </w:r>
      <w:r w:rsidR="00C871D2">
        <w:rPr>
          <w:sz w:val="24"/>
          <w:szCs w:val="24"/>
        </w:rPr>
        <w:t>urvey provides</w:t>
      </w:r>
      <w:r w:rsidR="00174654">
        <w:rPr>
          <w:sz w:val="24"/>
          <w:szCs w:val="24"/>
        </w:rPr>
        <w:t xml:space="preserve"> a first glance at the difference </w:t>
      </w:r>
      <w:r w:rsidR="00312083">
        <w:rPr>
          <w:sz w:val="24"/>
          <w:szCs w:val="24"/>
        </w:rPr>
        <w:t>betwe</w:t>
      </w:r>
      <w:r w:rsidR="008444B0">
        <w:rPr>
          <w:sz w:val="24"/>
          <w:szCs w:val="24"/>
        </w:rPr>
        <w:t xml:space="preserve">en a Greek and non-Greek </w:t>
      </w:r>
      <w:r w:rsidR="00174654">
        <w:rPr>
          <w:sz w:val="24"/>
          <w:szCs w:val="24"/>
        </w:rPr>
        <w:t xml:space="preserve">student groups active on the University campus. </w:t>
      </w:r>
    </w:p>
    <w:p w14:paraId="778E159A" w14:textId="77777777" w:rsidR="001B2402" w:rsidRPr="007B634B" w:rsidRDefault="001B2402" w:rsidP="00583F40">
      <w:pPr>
        <w:jc w:val="center"/>
      </w:pPr>
      <w:r w:rsidRPr="00A11697">
        <w:rPr>
          <w:noProof/>
        </w:rPr>
        <w:drawing>
          <wp:inline distT="0" distB="0" distL="0" distR="0" wp14:anchorId="6C228BC6" wp14:editId="04591E53">
            <wp:extent cx="6000750" cy="347345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0DF9C0D" w14:textId="77777777" w:rsidR="00583F40" w:rsidRPr="007B634B" w:rsidRDefault="00583F40" w:rsidP="00583F40">
      <w:pPr>
        <w:jc w:val="right"/>
        <w:rPr>
          <w:sz w:val="18"/>
          <w:szCs w:val="18"/>
        </w:rPr>
      </w:pPr>
      <w:r w:rsidRPr="007B634B">
        <w:rPr>
          <w:sz w:val="18"/>
          <w:szCs w:val="18"/>
        </w:rPr>
        <w:t>Figure 2. Five or More Drinks by Group Affiliation</w:t>
      </w:r>
    </w:p>
    <w:p w14:paraId="3D724FCD" w14:textId="77777777" w:rsidR="00E0288C" w:rsidRPr="00656B5B" w:rsidRDefault="00E0288C" w:rsidP="00E0288C">
      <w:pPr>
        <w:rPr>
          <w:sz w:val="24"/>
          <w:szCs w:val="24"/>
        </w:rPr>
      </w:pPr>
      <w:r w:rsidRPr="00656B5B">
        <w:rPr>
          <w:sz w:val="24"/>
          <w:szCs w:val="24"/>
        </w:rPr>
        <w:t>FIRST-YEAR DRINKING PATTERNS</w:t>
      </w:r>
    </w:p>
    <w:p w14:paraId="656C4456" w14:textId="0D3DEEBF" w:rsidR="001A045D" w:rsidRPr="00656B5B" w:rsidRDefault="00023087" w:rsidP="001A045D">
      <w:pPr>
        <w:rPr>
          <w:sz w:val="24"/>
          <w:szCs w:val="24"/>
        </w:rPr>
      </w:pPr>
      <w:r w:rsidRPr="00656B5B">
        <w:rPr>
          <w:sz w:val="24"/>
          <w:szCs w:val="24"/>
        </w:rPr>
        <w:t xml:space="preserve">In 2002, the campus experienced a </w:t>
      </w:r>
      <w:r w:rsidR="001A045D" w:rsidRPr="00656B5B">
        <w:rPr>
          <w:sz w:val="24"/>
          <w:szCs w:val="24"/>
        </w:rPr>
        <w:t>shift from a majority of infrequent and fre</w:t>
      </w:r>
      <w:r w:rsidR="008444B0">
        <w:rPr>
          <w:sz w:val="24"/>
          <w:szCs w:val="24"/>
        </w:rPr>
        <w:t>quent binge drinkers to a significant</w:t>
      </w:r>
      <w:r w:rsidR="00605372" w:rsidRPr="00656B5B">
        <w:rPr>
          <w:sz w:val="24"/>
          <w:szCs w:val="24"/>
        </w:rPr>
        <w:t xml:space="preserve"> percentage</w:t>
      </w:r>
      <w:r w:rsidR="001A045D" w:rsidRPr="00656B5B">
        <w:rPr>
          <w:sz w:val="24"/>
          <w:szCs w:val="24"/>
        </w:rPr>
        <w:t xml:space="preserve"> of incoming students who report either abstaining from alcohol or drinking in low risk ways when they do choose to consume alcohol </w:t>
      </w:r>
      <w:r w:rsidR="00EC5ECA">
        <w:rPr>
          <w:sz w:val="24"/>
          <w:szCs w:val="24"/>
        </w:rPr>
        <w:t>(Figure 3</w:t>
      </w:r>
      <w:r w:rsidR="001A045D" w:rsidRPr="00656B5B">
        <w:rPr>
          <w:sz w:val="24"/>
          <w:szCs w:val="24"/>
        </w:rPr>
        <w:t xml:space="preserve">). </w:t>
      </w:r>
      <w:r w:rsidR="00605372" w:rsidRPr="00656B5B">
        <w:rPr>
          <w:sz w:val="24"/>
          <w:szCs w:val="24"/>
        </w:rPr>
        <w:t>Entering class data is collected</w:t>
      </w:r>
      <w:r w:rsidRPr="00656B5B">
        <w:rPr>
          <w:sz w:val="24"/>
          <w:szCs w:val="24"/>
        </w:rPr>
        <w:t>,</w:t>
      </w:r>
      <w:r w:rsidR="00605372" w:rsidRPr="00656B5B">
        <w:rPr>
          <w:sz w:val="24"/>
          <w:szCs w:val="24"/>
        </w:rPr>
        <w:t xml:space="preserve"> pre-arrival</w:t>
      </w:r>
      <w:r w:rsidRPr="00656B5B">
        <w:rPr>
          <w:sz w:val="24"/>
          <w:szCs w:val="24"/>
        </w:rPr>
        <w:t>,</w:t>
      </w:r>
      <w:r w:rsidR="00605372" w:rsidRPr="00656B5B">
        <w:rPr>
          <w:sz w:val="24"/>
          <w:szCs w:val="24"/>
        </w:rPr>
        <w:t xml:space="preserve"> through the administration of the Year 1 College Alcohol Profile (Y1-CAP) to entering first year students. </w:t>
      </w:r>
      <w:r w:rsidRPr="00656B5B">
        <w:rPr>
          <w:sz w:val="24"/>
          <w:szCs w:val="24"/>
        </w:rPr>
        <w:t>Y1</w:t>
      </w:r>
      <w:r w:rsidR="00605372" w:rsidRPr="00656B5B">
        <w:rPr>
          <w:sz w:val="24"/>
          <w:szCs w:val="24"/>
        </w:rPr>
        <w:t xml:space="preserve">-CAP is an alcohol prevention program </w:t>
      </w:r>
      <w:r w:rsidR="00AA3443" w:rsidRPr="00656B5B">
        <w:rPr>
          <w:sz w:val="24"/>
          <w:szCs w:val="24"/>
        </w:rPr>
        <w:t>developed at the University of Nebraska-Lincoln</w:t>
      </w:r>
      <w:r w:rsidR="00605372" w:rsidRPr="00656B5B">
        <w:rPr>
          <w:sz w:val="24"/>
          <w:szCs w:val="24"/>
        </w:rPr>
        <w:t xml:space="preserve"> and modeled on national web-based brief intervention programs such</w:t>
      </w:r>
      <w:r w:rsidR="00AA3443" w:rsidRPr="00656B5B">
        <w:rPr>
          <w:sz w:val="24"/>
          <w:szCs w:val="24"/>
        </w:rPr>
        <w:t xml:space="preserve"> as</w:t>
      </w:r>
      <w:r w:rsidR="00605372" w:rsidRPr="00656B5B">
        <w:rPr>
          <w:sz w:val="24"/>
          <w:szCs w:val="24"/>
        </w:rPr>
        <w:t xml:space="preserve"> e-CHUG. </w:t>
      </w:r>
    </w:p>
    <w:p w14:paraId="0586816B" w14:textId="47088343" w:rsidR="00656B5B" w:rsidRPr="008444B0" w:rsidRDefault="0089651E" w:rsidP="001A045D">
      <w:pPr>
        <w:rPr>
          <w:sz w:val="24"/>
          <w:szCs w:val="24"/>
        </w:rPr>
      </w:pPr>
      <w:r w:rsidRPr="00656B5B">
        <w:rPr>
          <w:sz w:val="24"/>
          <w:szCs w:val="24"/>
        </w:rPr>
        <w:t>The Y1-CA</w:t>
      </w:r>
      <w:r w:rsidR="00605372" w:rsidRPr="00656B5B">
        <w:rPr>
          <w:sz w:val="24"/>
          <w:szCs w:val="24"/>
        </w:rPr>
        <w:t>P provides personalized feedback to students based on input of their own drinking and self-reports of harms. The student’s drinking patterns are compared to peer reference norms. Additional information is provid</w:t>
      </w:r>
      <w:r w:rsidR="00023087" w:rsidRPr="00656B5B">
        <w:rPr>
          <w:sz w:val="24"/>
          <w:szCs w:val="24"/>
        </w:rPr>
        <w:t xml:space="preserve">ed on alcohol effects, BAC, </w:t>
      </w:r>
      <w:r w:rsidR="00605372" w:rsidRPr="00656B5B">
        <w:rPr>
          <w:sz w:val="24"/>
          <w:szCs w:val="24"/>
        </w:rPr>
        <w:t>local pol</w:t>
      </w:r>
      <w:r w:rsidR="00023087" w:rsidRPr="00656B5B">
        <w:rPr>
          <w:sz w:val="24"/>
          <w:szCs w:val="24"/>
        </w:rPr>
        <w:t xml:space="preserve">icies and laws, and </w:t>
      </w:r>
      <w:r w:rsidR="00605372" w:rsidRPr="00656B5B">
        <w:rPr>
          <w:sz w:val="24"/>
          <w:szCs w:val="24"/>
        </w:rPr>
        <w:t xml:space="preserve">social </w:t>
      </w:r>
      <w:r w:rsidRPr="00656B5B">
        <w:rPr>
          <w:sz w:val="24"/>
          <w:szCs w:val="24"/>
        </w:rPr>
        <w:t xml:space="preserve">norms message providing students with peer group drinking and attitudinal norms to correct drinking misperceptions. Despite </w:t>
      </w:r>
      <w:r w:rsidR="00F1483D">
        <w:rPr>
          <w:sz w:val="24"/>
          <w:szCs w:val="24"/>
        </w:rPr>
        <w:t>campus</w:t>
      </w:r>
      <w:r w:rsidRPr="00656B5B">
        <w:rPr>
          <w:sz w:val="24"/>
          <w:szCs w:val="24"/>
        </w:rPr>
        <w:t xml:space="preserve"> efforts to correct misperceptions about peer alcohol and other drug use, Nebraska students over estimate any use of alcohol wit</w:t>
      </w:r>
      <w:r w:rsidR="00C871D2">
        <w:rPr>
          <w:sz w:val="24"/>
          <w:szCs w:val="24"/>
        </w:rPr>
        <w:t>hin the last month by 30%</w:t>
      </w:r>
      <w:r w:rsidRPr="00656B5B">
        <w:rPr>
          <w:sz w:val="24"/>
          <w:szCs w:val="24"/>
        </w:rPr>
        <w:t xml:space="preserve"> and marijuana use within the las</w:t>
      </w:r>
      <w:r w:rsidR="00023087" w:rsidRPr="00656B5B">
        <w:rPr>
          <w:sz w:val="24"/>
          <w:szCs w:val="24"/>
        </w:rPr>
        <w:t>t 30 days by</w:t>
      </w:r>
      <w:r w:rsidRPr="00656B5B">
        <w:rPr>
          <w:sz w:val="24"/>
          <w:szCs w:val="24"/>
        </w:rPr>
        <w:t xml:space="preserve"> 64% (Fall 2016 ACHA-NCHA II Survey – University of Nebraska-Lincoln Executive Summary).</w:t>
      </w:r>
      <w:r w:rsidRPr="007B634B">
        <w:t xml:space="preserve"> </w:t>
      </w:r>
      <w:r w:rsidR="00312083" w:rsidRPr="008444B0">
        <w:rPr>
          <w:sz w:val="24"/>
          <w:szCs w:val="24"/>
        </w:rPr>
        <w:t xml:space="preserve">Correct drinking norms are an </w:t>
      </w:r>
      <w:r w:rsidR="00312083" w:rsidRPr="008444B0">
        <w:rPr>
          <w:sz w:val="24"/>
          <w:szCs w:val="24"/>
        </w:rPr>
        <w:lastRenderedPageBreak/>
        <w:t xml:space="preserve">important prevention strategy as research suggests that students may adjust their behavior to fit in with what they believe to be the normative campus environment. </w:t>
      </w:r>
    </w:p>
    <w:p w14:paraId="141FA81C" w14:textId="77777777" w:rsidR="001A045D" w:rsidRDefault="001A045D" w:rsidP="001A045D">
      <w:pPr>
        <w:rPr>
          <w:sz w:val="20"/>
          <w:szCs w:val="20"/>
        </w:rPr>
      </w:pPr>
      <w:r w:rsidRPr="00A11697">
        <w:rPr>
          <w:noProof/>
        </w:rPr>
        <w:drawing>
          <wp:inline distT="0" distB="0" distL="0" distR="0" wp14:anchorId="69ECFF23" wp14:editId="4404C944">
            <wp:extent cx="6032500" cy="3238500"/>
            <wp:effectExtent l="0" t="0" r="635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D810387" w14:textId="77777777" w:rsidR="00AC08A4" w:rsidRPr="007B634B" w:rsidRDefault="007B634B" w:rsidP="001A045D">
      <w:pPr>
        <w:jc w:val="right"/>
        <w:rPr>
          <w:sz w:val="18"/>
          <w:szCs w:val="18"/>
        </w:rPr>
      </w:pPr>
      <w:r w:rsidRPr="007B634B">
        <w:rPr>
          <w:sz w:val="18"/>
          <w:szCs w:val="18"/>
        </w:rPr>
        <w:t>Figure 3</w:t>
      </w:r>
      <w:r w:rsidR="001A045D" w:rsidRPr="007B634B">
        <w:rPr>
          <w:sz w:val="18"/>
          <w:szCs w:val="18"/>
        </w:rPr>
        <w:t>. University of Nebraska-Lincoln Drinking Classification by Entering Class 1997 – 2015</w:t>
      </w:r>
    </w:p>
    <w:p w14:paraId="79712536" w14:textId="73C65415" w:rsidR="003715CC" w:rsidRDefault="00E0288C" w:rsidP="0089651E">
      <w:pPr>
        <w:rPr>
          <w:sz w:val="24"/>
          <w:szCs w:val="24"/>
        </w:rPr>
      </w:pPr>
      <w:r w:rsidRPr="00656B5B">
        <w:rPr>
          <w:sz w:val="24"/>
          <w:szCs w:val="24"/>
        </w:rPr>
        <w:t xml:space="preserve">Detailed information about the drinking patterns of the entering class beginning with 2009 </w:t>
      </w:r>
      <w:r w:rsidR="00C871D2" w:rsidRPr="00656B5B">
        <w:rPr>
          <w:sz w:val="24"/>
          <w:szCs w:val="24"/>
        </w:rPr>
        <w:t>is</w:t>
      </w:r>
      <w:r w:rsidRPr="00656B5B">
        <w:rPr>
          <w:sz w:val="24"/>
          <w:szCs w:val="24"/>
        </w:rPr>
        <w:t xml:space="preserve"> </w:t>
      </w:r>
      <w:r w:rsidR="003715CC">
        <w:rPr>
          <w:sz w:val="24"/>
          <w:szCs w:val="24"/>
        </w:rPr>
        <w:t>displayed</w:t>
      </w:r>
      <w:r w:rsidR="003715CC" w:rsidRPr="00656B5B">
        <w:rPr>
          <w:sz w:val="24"/>
          <w:szCs w:val="24"/>
        </w:rPr>
        <w:t xml:space="preserve"> </w:t>
      </w:r>
      <w:r w:rsidRPr="00656B5B">
        <w:rPr>
          <w:sz w:val="24"/>
          <w:szCs w:val="24"/>
        </w:rPr>
        <w:t>in Figure 4. Overall</w:t>
      </w:r>
      <w:r w:rsidR="003715CC">
        <w:rPr>
          <w:sz w:val="24"/>
          <w:szCs w:val="24"/>
        </w:rPr>
        <w:t>,</w:t>
      </w:r>
      <w:r w:rsidRPr="00656B5B">
        <w:rPr>
          <w:sz w:val="24"/>
          <w:szCs w:val="24"/>
        </w:rPr>
        <w:t xml:space="preserve"> more than 40% of entering students coming </w:t>
      </w:r>
      <w:r w:rsidR="003715CC">
        <w:rPr>
          <w:sz w:val="24"/>
          <w:szCs w:val="24"/>
        </w:rPr>
        <w:t>to UNL report</w:t>
      </w:r>
      <w:r w:rsidRPr="00656B5B">
        <w:rPr>
          <w:sz w:val="24"/>
          <w:szCs w:val="24"/>
        </w:rPr>
        <w:t xml:space="preserve"> </w:t>
      </w:r>
      <w:r w:rsidR="003715CC">
        <w:rPr>
          <w:sz w:val="24"/>
          <w:szCs w:val="24"/>
        </w:rPr>
        <w:t>that they abstain from consuming alcohol</w:t>
      </w:r>
      <w:r w:rsidRPr="00656B5B">
        <w:rPr>
          <w:sz w:val="24"/>
          <w:szCs w:val="24"/>
        </w:rPr>
        <w:t xml:space="preserve">. </w:t>
      </w:r>
      <w:r w:rsidR="00E74592" w:rsidRPr="00656B5B">
        <w:rPr>
          <w:sz w:val="24"/>
          <w:szCs w:val="24"/>
        </w:rPr>
        <w:t xml:space="preserve">In 2016, slightly more men (44.4%) than women (43.1%) reported abstinence. Overall 20.2% of </w:t>
      </w:r>
      <w:r w:rsidR="003715CC">
        <w:rPr>
          <w:sz w:val="24"/>
          <w:szCs w:val="24"/>
        </w:rPr>
        <w:t xml:space="preserve">the </w:t>
      </w:r>
      <w:r w:rsidR="008444B0">
        <w:rPr>
          <w:sz w:val="24"/>
          <w:szCs w:val="24"/>
        </w:rPr>
        <w:t xml:space="preserve">first-year </w:t>
      </w:r>
      <w:r w:rsidR="00E74592" w:rsidRPr="00656B5B">
        <w:rPr>
          <w:sz w:val="24"/>
          <w:szCs w:val="24"/>
        </w:rPr>
        <w:t>student</w:t>
      </w:r>
      <w:r w:rsidR="003715CC">
        <w:rPr>
          <w:sz w:val="24"/>
          <w:szCs w:val="24"/>
        </w:rPr>
        <w:t xml:space="preserve"> respondents</w:t>
      </w:r>
      <w:r w:rsidR="00E74592" w:rsidRPr="00656B5B">
        <w:rPr>
          <w:sz w:val="24"/>
          <w:szCs w:val="24"/>
        </w:rPr>
        <w:t xml:space="preserve"> reported binge drinking, with more men (22.4%) th</w:t>
      </w:r>
      <w:r w:rsidR="00EC5ECA">
        <w:rPr>
          <w:sz w:val="24"/>
          <w:szCs w:val="24"/>
        </w:rPr>
        <w:t>an women (18.4%) reporting the behavior</w:t>
      </w:r>
      <w:r w:rsidR="00E74592" w:rsidRPr="00656B5B">
        <w:rPr>
          <w:sz w:val="24"/>
          <w:szCs w:val="24"/>
        </w:rPr>
        <w:t xml:space="preserve">. This compares to 27.4% of Nebraska high school seniors who reported binge drinking on the 2015 Youth Risk Behavior Survey. </w:t>
      </w:r>
    </w:p>
    <w:p w14:paraId="04AD7A4A" w14:textId="77777777" w:rsidR="00E74592" w:rsidRDefault="00E74592" w:rsidP="0089651E">
      <w:pPr>
        <w:rPr>
          <w:sz w:val="24"/>
          <w:szCs w:val="24"/>
        </w:rPr>
      </w:pPr>
      <w:r w:rsidRPr="00656B5B">
        <w:rPr>
          <w:sz w:val="24"/>
          <w:szCs w:val="24"/>
        </w:rPr>
        <w:t xml:space="preserve">Members of the entering class who self-report an interest in Greek membership report drinking rates that exceed their non-Greek peers. In 2016, 27.2% Greek respondents reported abstaining from alcohol as opposed to the 49.2% rate reported by their non-Greek peers. Their binge rates are also higher. In 2016, the binge rate of students interested in joining the Greek system exceeded 31% - nearly double (15.7%) of their non-Greek peers. This pattern is consistent across </w:t>
      </w:r>
      <w:r w:rsidR="008444B0">
        <w:rPr>
          <w:sz w:val="24"/>
          <w:szCs w:val="24"/>
        </w:rPr>
        <w:t xml:space="preserve">the </w:t>
      </w:r>
      <w:r w:rsidRPr="00656B5B">
        <w:rPr>
          <w:sz w:val="24"/>
          <w:szCs w:val="24"/>
        </w:rPr>
        <w:t>three reporting years (2014-2016)</w:t>
      </w:r>
      <w:r w:rsidR="008444B0">
        <w:rPr>
          <w:sz w:val="24"/>
          <w:szCs w:val="24"/>
        </w:rPr>
        <w:t xml:space="preserve"> reflected in Figure 4</w:t>
      </w:r>
      <w:r w:rsidRPr="00656B5B">
        <w:rPr>
          <w:sz w:val="24"/>
          <w:szCs w:val="24"/>
        </w:rPr>
        <w:t xml:space="preserve">. </w:t>
      </w:r>
    </w:p>
    <w:p w14:paraId="0E390B21" w14:textId="77777777" w:rsidR="00174654" w:rsidRDefault="00174654" w:rsidP="0089651E">
      <w:pPr>
        <w:rPr>
          <w:sz w:val="24"/>
          <w:szCs w:val="24"/>
        </w:rPr>
      </w:pPr>
    </w:p>
    <w:p w14:paraId="3D6CA4D7" w14:textId="77777777" w:rsidR="00EC5ECA" w:rsidRDefault="00EC5ECA" w:rsidP="0089651E">
      <w:pPr>
        <w:rPr>
          <w:sz w:val="24"/>
          <w:szCs w:val="24"/>
        </w:rPr>
        <w:sectPr w:rsidR="00EC5ECA">
          <w:headerReference w:type="default" r:id="rId10"/>
          <w:footerReference w:type="default" r:id="rId11"/>
          <w:pgSz w:w="12240" w:h="15840"/>
          <w:pgMar w:top="1440" w:right="1440" w:bottom="1440" w:left="1440" w:header="720" w:footer="720" w:gutter="0"/>
          <w:cols w:space="720"/>
          <w:docGrid w:linePitch="360"/>
        </w:sectPr>
      </w:pPr>
    </w:p>
    <w:p w14:paraId="0BFC9A42" w14:textId="77777777" w:rsidR="00656B5B" w:rsidRDefault="00656B5B">
      <w:pPr>
        <w:rPr>
          <w:sz w:val="20"/>
          <w:szCs w:val="20"/>
        </w:rPr>
      </w:pPr>
      <w:r>
        <w:rPr>
          <w:noProof/>
        </w:rPr>
        <w:lastRenderedPageBreak/>
        <mc:AlternateContent>
          <mc:Choice Requires="wps">
            <w:drawing>
              <wp:anchor distT="0" distB="0" distL="118745" distR="118745" simplePos="0" relativeHeight="251659264" behindDoc="1" locked="0" layoutInCell="1" allowOverlap="0" wp14:anchorId="06AA1098" wp14:editId="454B575B">
                <wp:simplePos x="0" y="0"/>
                <wp:positionH relativeFrom="margin">
                  <wp:posOffset>0</wp:posOffset>
                </wp:positionH>
                <wp:positionV relativeFrom="page">
                  <wp:posOffset>1181100</wp:posOffset>
                </wp:positionV>
                <wp:extent cx="8229600" cy="574040"/>
                <wp:effectExtent l="0" t="0" r="0" b="0"/>
                <wp:wrapSquare wrapText="bothSides"/>
                <wp:docPr id="197" name="Rectangle 197"/>
                <wp:cNvGraphicFramePr/>
                <a:graphic xmlns:a="http://schemas.openxmlformats.org/drawingml/2006/main">
                  <a:graphicData uri="http://schemas.microsoft.com/office/word/2010/wordprocessingShape">
                    <wps:wsp>
                      <wps:cNvSpPr/>
                      <wps:spPr>
                        <a:xfrm>
                          <a:off x="0" y="0"/>
                          <a:ext cx="8229600" cy="57404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ADCF75" w14:textId="4E40BCDC" w:rsidR="00FC1116" w:rsidRPr="005342AD" w:rsidRDefault="001F1771" w:rsidP="00656B5B">
                            <w:pPr>
                              <w:jc w:val="center"/>
                              <w:rPr>
                                <w:b/>
                              </w:rPr>
                            </w:pPr>
                            <w:sdt>
                              <w:sdtPr>
                                <w:rPr>
                                  <w:b/>
                                </w:rPr>
                                <w:alias w:val="Title"/>
                                <w:tag w:val=""/>
                                <w:id w:val="1972011424"/>
                                <w:dataBinding w:prefixMappings="xmlns:ns0='http://purl.org/dc/elements/1.1/' xmlns:ns1='http://schemas.openxmlformats.org/package/2006/metadata/core-properties' " w:xpath="/ns1:coreProperties[1]/ns0:title[1]" w:storeItemID="{6C3C8BC8-F283-45AE-878A-BAB7291924A1}"/>
                                <w:text/>
                              </w:sdtPr>
                              <w:sdtEndPr/>
                              <w:sdtContent>
                                <w:r w:rsidR="00F1483D" w:rsidRPr="002478AA">
                                  <w:rPr>
                                    <w:b/>
                                  </w:rPr>
                                  <w:t>University of Nebraska-L</w:t>
                                </w:r>
                                <w:r w:rsidR="00FC1116" w:rsidRPr="002478AA">
                                  <w:rPr>
                                    <w:b/>
                                  </w:rPr>
                                  <w:t>incoln</w:t>
                                </w:r>
                              </w:sdtContent>
                            </w:sdt>
                            <w:r w:rsidR="00FC1116">
                              <w:br/>
                            </w:r>
                            <w:r w:rsidR="00FC1116" w:rsidRPr="005342AD">
                              <w:rPr>
                                <w:b/>
                              </w:rPr>
                              <w:t xml:space="preserve"> 2009 – 2016 Entering Class Comparison Report and 2014 – 2016 Entering Greek vs Non-Greek Comparison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06AA1098" id="Rectangle 197" o:spid="_x0000_s1026" style="position:absolute;margin-left:0;margin-top:93pt;width:9in;height:45.2pt;z-index:-251657216;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" o:allowoverlap="f" fillcolor="#c00000" stroked="f" strokeweight="1pt">
                <v:textbox style="mso-fit-shape-to-text:t">
                  <w:txbxContent>
                    <w:p w14:paraId="6FADCF75" w14:textId="4E40BCDC" w:rsidR="00FC1116" w:rsidRPr="005342AD" w:rsidRDefault="001F1771" w:rsidP="00656B5B">
                      <w:pPr>
                        <w:jc w:val="center"/>
                        <w:rPr>
                          <w:b/>
                        </w:rPr>
                      </w:pPr>
                      <w:sdt>
                        <w:sdtPr>
                          <w:rPr>
                            <w:b/>
                          </w:rPr>
                          <w:alias w:val="Title"/>
                          <w:tag w:val=""/>
                          <w:id w:val="1972011424"/>
                          <w:dataBinding w:prefixMappings="xmlns:ns0='http://purl.org/dc/elements/1.1/' xmlns:ns1='http://schemas.openxmlformats.org/package/2006/metadata/core-properties' " w:xpath="/ns1:coreProperties[1]/ns0:title[1]" w:storeItemID="{6C3C8BC8-F283-45AE-878A-BAB7291924A1}"/>
                          <w:text/>
                        </w:sdtPr>
                        <w:sdtEndPr/>
                        <w:sdtContent>
                          <w:r w:rsidR="00F1483D" w:rsidRPr="002478AA">
                            <w:rPr>
                              <w:b/>
                            </w:rPr>
                            <w:t>University of Nebraska-L</w:t>
                          </w:r>
                          <w:r w:rsidR="00FC1116" w:rsidRPr="002478AA">
                            <w:rPr>
                              <w:b/>
                            </w:rPr>
                            <w:t>incoln</w:t>
                          </w:r>
                        </w:sdtContent>
                      </w:sdt>
                      <w:r w:rsidR="00FC1116">
                        <w:br/>
                      </w:r>
                      <w:r w:rsidR="00FC1116" w:rsidRPr="005342AD">
                        <w:rPr>
                          <w:b/>
                        </w:rPr>
                        <w:t xml:space="preserve"> 2009 – 2016 Entering Class Comparison Report and 2014 – 2016 Entering Greek vs Non-Greek Comparison Report</w:t>
                      </w:r>
                    </w:p>
                  </w:txbxContent>
                </v:textbox>
                <w10:wrap type="square" anchorx="margin" anchory="page"/>
              </v:rect>
            </w:pict>
          </mc:Fallback>
        </mc:AlternateContent>
      </w:r>
    </w:p>
    <w:tbl>
      <w:tblPr>
        <w:tblStyle w:val="TableGrid"/>
        <w:tblW w:w="5000" w:type="pct"/>
        <w:tblLook w:val="04A0" w:firstRow="1" w:lastRow="0" w:firstColumn="1" w:lastColumn="0" w:noHBand="0" w:noVBand="1"/>
      </w:tblPr>
      <w:tblGrid>
        <w:gridCol w:w="2636"/>
        <w:gridCol w:w="2635"/>
        <w:gridCol w:w="2635"/>
        <w:gridCol w:w="2635"/>
        <w:gridCol w:w="2635"/>
      </w:tblGrid>
      <w:tr w:rsidR="00656B5B" w:rsidRPr="009B1004" w14:paraId="2FB51510" w14:textId="77777777" w:rsidTr="008444B0">
        <w:trPr>
          <w:trHeight w:val="288"/>
        </w:trPr>
        <w:tc>
          <w:tcPr>
            <w:tcW w:w="1000" w:type="pct"/>
            <w:tcBorders>
              <w:top w:val="single" w:sz="4" w:space="0" w:color="auto"/>
            </w:tcBorders>
          </w:tcPr>
          <w:p w14:paraId="74B69AC2" w14:textId="77777777" w:rsidR="00656B5B" w:rsidRPr="009B1004" w:rsidRDefault="00656B5B" w:rsidP="008444B0">
            <w:pPr>
              <w:rPr>
                <w:b/>
                <w:sz w:val="20"/>
                <w:szCs w:val="20"/>
              </w:rPr>
            </w:pPr>
          </w:p>
        </w:tc>
        <w:tc>
          <w:tcPr>
            <w:tcW w:w="1000" w:type="pct"/>
            <w:tcBorders>
              <w:top w:val="single" w:sz="4" w:space="0" w:color="auto"/>
            </w:tcBorders>
          </w:tcPr>
          <w:p w14:paraId="1C5BFAF1" w14:textId="77777777" w:rsidR="00656B5B" w:rsidRPr="009B1004" w:rsidRDefault="00656B5B" w:rsidP="008444B0">
            <w:pPr>
              <w:rPr>
                <w:b/>
                <w:sz w:val="20"/>
                <w:szCs w:val="20"/>
              </w:rPr>
            </w:pPr>
            <w:r w:rsidRPr="009B1004">
              <w:rPr>
                <w:b/>
                <w:sz w:val="20"/>
                <w:szCs w:val="20"/>
              </w:rPr>
              <w:t>Abstainer</w:t>
            </w:r>
          </w:p>
        </w:tc>
        <w:tc>
          <w:tcPr>
            <w:tcW w:w="1000" w:type="pct"/>
            <w:tcBorders>
              <w:top w:val="single" w:sz="4" w:space="0" w:color="auto"/>
            </w:tcBorders>
          </w:tcPr>
          <w:p w14:paraId="0FB6A9C6" w14:textId="77777777" w:rsidR="00656B5B" w:rsidRPr="009B1004" w:rsidRDefault="00656B5B" w:rsidP="008444B0">
            <w:pPr>
              <w:rPr>
                <w:b/>
                <w:sz w:val="20"/>
                <w:szCs w:val="20"/>
              </w:rPr>
            </w:pPr>
            <w:r w:rsidRPr="009B1004">
              <w:rPr>
                <w:b/>
                <w:sz w:val="20"/>
                <w:szCs w:val="20"/>
              </w:rPr>
              <w:t>Drink no Binge</w:t>
            </w:r>
          </w:p>
        </w:tc>
        <w:tc>
          <w:tcPr>
            <w:tcW w:w="1000" w:type="pct"/>
            <w:tcBorders>
              <w:top w:val="single" w:sz="4" w:space="0" w:color="auto"/>
            </w:tcBorders>
          </w:tcPr>
          <w:p w14:paraId="6D9BC993" w14:textId="77777777" w:rsidR="00656B5B" w:rsidRPr="009B1004" w:rsidRDefault="00656B5B" w:rsidP="008444B0">
            <w:pPr>
              <w:rPr>
                <w:b/>
                <w:sz w:val="20"/>
                <w:szCs w:val="20"/>
              </w:rPr>
            </w:pPr>
            <w:r w:rsidRPr="009B1004">
              <w:rPr>
                <w:b/>
                <w:sz w:val="20"/>
                <w:szCs w:val="20"/>
              </w:rPr>
              <w:t>Infrequent Binger</w:t>
            </w:r>
          </w:p>
        </w:tc>
        <w:tc>
          <w:tcPr>
            <w:tcW w:w="1000" w:type="pct"/>
            <w:tcBorders>
              <w:top w:val="single" w:sz="4" w:space="0" w:color="auto"/>
            </w:tcBorders>
          </w:tcPr>
          <w:p w14:paraId="0C90F288" w14:textId="77777777" w:rsidR="00656B5B" w:rsidRPr="009B1004" w:rsidRDefault="00656B5B" w:rsidP="008444B0">
            <w:pPr>
              <w:rPr>
                <w:b/>
                <w:sz w:val="20"/>
                <w:szCs w:val="20"/>
              </w:rPr>
            </w:pPr>
            <w:r w:rsidRPr="009B1004">
              <w:rPr>
                <w:b/>
                <w:sz w:val="20"/>
                <w:szCs w:val="20"/>
              </w:rPr>
              <w:t>Frequent Binger</w:t>
            </w:r>
          </w:p>
        </w:tc>
      </w:tr>
      <w:tr w:rsidR="00843CE8" w:rsidRPr="00843CE8" w14:paraId="38B8F62F" w14:textId="77777777" w:rsidTr="008444B0">
        <w:trPr>
          <w:trHeight w:val="288"/>
        </w:trPr>
        <w:tc>
          <w:tcPr>
            <w:tcW w:w="1000" w:type="pct"/>
          </w:tcPr>
          <w:p w14:paraId="50F5CF7E" w14:textId="77777777" w:rsidR="00656B5B" w:rsidRPr="00843CE8" w:rsidRDefault="00656B5B" w:rsidP="008444B0">
            <w:pPr>
              <w:rPr>
                <w:color w:val="C00000"/>
                <w:sz w:val="20"/>
                <w:szCs w:val="20"/>
              </w:rPr>
            </w:pPr>
            <w:r w:rsidRPr="00843CE8">
              <w:rPr>
                <w:color w:val="C00000"/>
                <w:sz w:val="20"/>
                <w:szCs w:val="20"/>
              </w:rPr>
              <w:t>2016 Respondents (3690)</w:t>
            </w:r>
          </w:p>
        </w:tc>
        <w:tc>
          <w:tcPr>
            <w:tcW w:w="1000" w:type="pct"/>
          </w:tcPr>
          <w:p w14:paraId="0125F5F6" w14:textId="77777777" w:rsidR="00656B5B" w:rsidRPr="00843CE8" w:rsidRDefault="00656B5B" w:rsidP="008444B0">
            <w:pPr>
              <w:rPr>
                <w:color w:val="C00000"/>
                <w:sz w:val="20"/>
                <w:szCs w:val="20"/>
              </w:rPr>
            </w:pPr>
            <w:r w:rsidRPr="00843CE8">
              <w:rPr>
                <w:color w:val="C00000"/>
                <w:sz w:val="20"/>
                <w:szCs w:val="20"/>
              </w:rPr>
              <w:t>43.4%</w:t>
            </w:r>
          </w:p>
        </w:tc>
        <w:tc>
          <w:tcPr>
            <w:tcW w:w="1000" w:type="pct"/>
          </w:tcPr>
          <w:p w14:paraId="28598209" w14:textId="77777777" w:rsidR="00656B5B" w:rsidRPr="00843CE8" w:rsidRDefault="00656B5B" w:rsidP="008444B0">
            <w:pPr>
              <w:rPr>
                <w:color w:val="C00000"/>
                <w:sz w:val="20"/>
                <w:szCs w:val="20"/>
              </w:rPr>
            </w:pPr>
            <w:r w:rsidRPr="00843CE8">
              <w:rPr>
                <w:color w:val="C00000"/>
                <w:sz w:val="20"/>
                <w:szCs w:val="20"/>
              </w:rPr>
              <w:t>37.2%</w:t>
            </w:r>
          </w:p>
        </w:tc>
        <w:tc>
          <w:tcPr>
            <w:tcW w:w="1000" w:type="pct"/>
          </w:tcPr>
          <w:p w14:paraId="0CDE586F" w14:textId="77777777" w:rsidR="00656B5B" w:rsidRPr="00843CE8" w:rsidRDefault="00656B5B" w:rsidP="008444B0">
            <w:pPr>
              <w:rPr>
                <w:color w:val="C00000"/>
                <w:sz w:val="20"/>
                <w:szCs w:val="20"/>
              </w:rPr>
            </w:pPr>
            <w:r w:rsidRPr="00843CE8">
              <w:rPr>
                <w:color w:val="C00000"/>
                <w:sz w:val="20"/>
                <w:szCs w:val="20"/>
              </w:rPr>
              <w:t>8.9%</w:t>
            </w:r>
          </w:p>
        </w:tc>
        <w:tc>
          <w:tcPr>
            <w:tcW w:w="1000" w:type="pct"/>
          </w:tcPr>
          <w:p w14:paraId="48F34C0A" w14:textId="77777777" w:rsidR="00656B5B" w:rsidRPr="00843CE8" w:rsidRDefault="00656B5B" w:rsidP="008444B0">
            <w:pPr>
              <w:rPr>
                <w:color w:val="C00000"/>
                <w:sz w:val="20"/>
                <w:szCs w:val="20"/>
              </w:rPr>
            </w:pPr>
            <w:r w:rsidRPr="00843CE8">
              <w:rPr>
                <w:color w:val="C00000"/>
                <w:sz w:val="20"/>
                <w:szCs w:val="20"/>
              </w:rPr>
              <w:t>10.4%</w:t>
            </w:r>
          </w:p>
        </w:tc>
      </w:tr>
      <w:tr w:rsidR="00656B5B" w:rsidRPr="00FA7D4B" w14:paraId="26AA93FC" w14:textId="77777777" w:rsidTr="008444B0">
        <w:trPr>
          <w:trHeight w:val="288"/>
        </w:trPr>
        <w:tc>
          <w:tcPr>
            <w:tcW w:w="1000" w:type="pct"/>
          </w:tcPr>
          <w:p w14:paraId="2AC94370" w14:textId="5A6C5058" w:rsidR="00656B5B" w:rsidRPr="00FA7D4B" w:rsidRDefault="00656B5B" w:rsidP="008444B0">
            <w:pPr>
              <w:rPr>
                <w:color w:val="C00000"/>
                <w:sz w:val="20"/>
                <w:szCs w:val="20"/>
              </w:rPr>
            </w:pPr>
            <w:r w:rsidRPr="00FA7D4B">
              <w:rPr>
                <w:color w:val="C00000"/>
                <w:sz w:val="20"/>
                <w:szCs w:val="20"/>
              </w:rPr>
              <w:t>2016 NCC</w:t>
            </w:r>
            <w:r w:rsidR="00843CE8">
              <w:rPr>
                <w:color w:val="C00000"/>
                <w:sz w:val="20"/>
                <w:szCs w:val="20"/>
              </w:rPr>
              <w:t>*</w:t>
            </w:r>
            <w:r w:rsidRPr="00FA7D4B">
              <w:rPr>
                <w:color w:val="C00000"/>
                <w:sz w:val="20"/>
                <w:szCs w:val="20"/>
              </w:rPr>
              <w:t xml:space="preserve"> Respondents (7943)</w:t>
            </w:r>
          </w:p>
        </w:tc>
        <w:tc>
          <w:tcPr>
            <w:tcW w:w="1000" w:type="pct"/>
          </w:tcPr>
          <w:p w14:paraId="062CFBC7" w14:textId="77777777" w:rsidR="00656B5B" w:rsidRPr="00FA7D4B" w:rsidRDefault="00656B5B" w:rsidP="008444B0">
            <w:pPr>
              <w:rPr>
                <w:color w:val="C00000"/>
                <w:sz w:val="20"/>
                <w:szCs w:val="20"/>
              </w:rPr>
            </w:pPr>
            <w:r w:rsidRPr="00FA7D4B">
              <w:rPr>
                <w:color w:val="C00000"/>
                <w:sz w:val="20"/>
                <w:szCs w:val="20"/>
              </w:rPr>
              <w:t>51.3</w:t>
            </w:r>
          </w:p>
        </w:tc>
        <w:tc>
          <w:tcPr>
            <w:tcW w:w="1000" w:type="pct"/>
          </w:tcPr>
          <w:p w14:paraId="06C3BDD7" w14:textId="77777777" w:rsidR="00656B5B" w:rsidRPr="00FA7D4B" w:rsidRDefault="00656B5B" w:rsidP="008444B0">
            <w:pPr>
              <w:rPr>
                <w:color w:val="C00000"/>
                <w:sz w:val="20"/>
                <w:szCs w:val="20"/>
              </w:rPr>
            </w:pPr>
            <w:r w:rsidRPr="00FA7D4B">
              <w:rPr>
                <w:color w:val="C00000"/>
                <w:sz w:val="20"/>
                <w:szCs w:val="20"/>
              </w:rPr>
              <w:t>34.3</w:t>
            </w:r>
          </w:p>
        </w:tc>
        <w:tc>
          <w:tcPr>
            <w:tcW w:w="1000" w:type="pct"/>
          </w:tcPr>
          <w:p w14:paraId="1E568B98" w14:textId="77777777" w:rsidR="00656B5B" w:rsidRPr="00FA7D4B" w:rsidRDefault="00656B5B" w:rsidP="008444B0">
            <w:pPr>
              <w:rPr>
                <w:color w:val="C00000"/>
                <w:sz w:val="20"/>
                <w:szCs w:val="20"/>
              </w:rPr>
            </w:pPr>
            <w:r w:rsidRPr="00FA7D4B">
              <w:rPr>
                <w:color w:val="C00000"/>
                <w:sz w:val="20"/>
                <w:szCs w:val="20"/>
              </w:rPr>
              <w:t>6.7</w:t>
            </w:r>
          </w:p>
        </w:tc>
        <w:tc>
          <w:tcPr>
            <w:tcW w:w="1000" w:type="pct"/>
          </w:tcPr>
          <w:p w14:paraId="7935F951" w14:textId="77777777" w:rsidR="00656B5B" w:rsidRPr="00FA7D4B" w:rsidRDefault="00656B5B" w:rsidP="008444B0">
            <w:pPr>
              <w:rPr>
                <w:color w:val="C00000"/>
                <w:sz w:val="20"/>
                <w:szCs w:val="20"/>
              </w:rPr>
            </w:pPr>
            <w:r w:rsidRPr="00FA7D4B">
              <w:rPr>
                <w:color w:val="C00000"/>
                <w:sz w:val="20"/>
                <w:szCs w:val="20"/>
              </w:rPr>
              <w:t>7.8</w:t>
            </w:r>
          </w:p>
        </w:tc>
      </w:tr>
      <w:tr w:rsidR="00656B5B" w:rsidRPr="009B1004" w14:paraId="0DC9E331" w14:textId="77777777" w:rsidTr="008444B0">
        <w:trPr>
          <w:trHeight w:val="288"/>
        </w:trPr>
        <w:tc>
          <w:tcPr>
            <w:tcW w:w="1000" w:type="pct"/>
          </w:tcPr>
          <w:p w14:paraId="78FBF240" w14:textId="77777777" w:rsidR="00656B5B" w:rsidRPr="009B1004" w:rsidRDefault="00656B5B" w:rsidP="008444B0">
            <w:pPr>
              <w:rPr>
                <w:sz w:val="20"/>
                <w:szCs w:val="20"/>
              </w:rPr>
            </w:pPr>
            <w:r w:rsidRPr="009B1004">
              <w:rPr>
                <w:sz w:val="20"/>
                <w:szCs w:val="20"/>
              </w:rPr>
              <w:t>2015 Respondents (3941)</w:t>
            </w:r>
          </w:p>
        </w:tc>
        <w:tc>
          <w:tcPr>
            <w:tcW w:w="1000" w:type="pct"/>
          </w:tcPr>
          <w:p w14:paraId="74897AEE" w14:textId="77777777" w:rsidR="00656B5B" w:rsidRPr="009B1004" w:rsidRDefault="00656B5B" w:rsidP="008444B0">
            <w:pPr>
              <w:rPr>
                <w:sz w:val="20"/>
                <w:szCs w:val="20"/>
              </w:rPr>
            </w:pPr>
            <w:r w:rsidRPr="009B1004">
              <w:rPr>
                <w:sz w:val="20"/>
                <w:szCs w:val="20"/>
              </w:rPr>
              <w:t>40.8%</w:t>
            </w:r>
          </w:p>
        </w:tc>
        <w:tc>
          <w:tcPr>
            <w:tcW w:w="1000" w:type="pct"/>
          </w:tcPr>
          <w:p w14:paraId="593DFC10" w14:textId="77777777" w:rsidR="00656B5B" w:rsidRPr="009B1004" w:rsidRDefault="00656B5B" w:rsidP="008444B0">
            <w:pPr>
              <w:rPr>
                <w:sz w:val="20"/>
                <w:szCs w:val="20"/>
              </w:rPr>
            </w:pPr>
            <w:r w:rsidRPr="009B1004">
              <w:rPr>
                <w:sz w:val="20"/>
                <w:szCs w:val="20"/>
              </w:rPr>
              <w:t>40.2%</w:t>
            </w:r>
          </w:p>
        </w:tc>
        <w:tc>
          <w:tcPr>
            <w:tcW w:w="1000" w:type="pct"/>
          </w:tcPr>
          <w:p w14:paraId="39FBD88A" w14:textId="77777777" w:rsidR="00656B5B" w:rsidRPr="009B1004" w:rsidRDefault="00656B5B" w:rsidP="008444B0">
            <w:pPr>
              <w:rPr>
                <w:sz w:val="20"/>
                <w:szCs w:val="20"/>
              </w:rPr>
            </w:pPr>
            <w:r w:rsidRPr="009B1004">
              <w:rPr>
                <w:sz w:val="20"/>
                <w:szCs w:val="20"/>
              </w:rPr>
              <w:t>7.8%</w:t>
            </w:r>
          </w:p>
        </w:tc>
        <w:tc>
          <w:tcPr>
            <w:tcW w:w="1000" w:type="pct"/>
          </w:tcPr>
          <w:p w14:paraId="0DAF0119" w14:textId="77777777" w:rsidR="00656B5B" w:rsidRPr="009B1004" w:rsidRDefault="00656B5B" w:rsidP="008444B0">
            <w:pPr>
              <w:rPr>
                <w:sz w:val="20"/>
                <w:szCs w:val="20"/>
              </w:rPr>
            </w:pPr>
            <w:r w:rsidRPr="009B1004">
              <w:rPr>
                <w:sz w:val="20"/>
                <w:szCs w:val="20"/>
              </w:rPr>
              <w:t>11.2%</w:t>
            </w:r>
          </w:p>
        </w:tc>
      </w:tr>
      <w:tr w:rsidR="00656B5B" w:rsidRPr="009B1004" w14:paraId="3DB705A0" w14:textId="77777777" w:rsidTr="008444B0">
        <w:trPr>
          <w:trHeight w:val="288"/>
        </w:trPr>
        <w:tc>
          <w:tcPr>
            <w:tcW w:w="1000" w:type="pct"/>
          </w:tcPr>
          <w:p w14:paraId="151D90BE" w14:textId="77777777" w:rsidR="00656B5B" w:rsidRPr="009B1004" w:rsidRDefault="00656B5B" w:rsidP="008444B0">
            <w:pPr>
              <w:rPr>
                <w:sz w:val="20"/>
                <w:szCs w:val="20"/>
              </w:rPr>
            </w:pPr>
            <w:r w:rsidRPr="009B1004">
              <w:rPr>
                <w:sz w:val="20"/>
                <w:szCs w:val="20"/>
              </w:rPr>
              <w:t>2014 Respondents (3453)</w:t>
            </w:r>
          </w:p>
        </w:tc>
        <w:tc>
          <w:tcPr>
            <w:tcW w:w="1000" w:type="pct"/>
          </w:tcPr>
          <w:p w14:paraId="2A467682" w14:textId="77777777" w:rsidR="00656B5B" w:rsidRPr="009B1004" w:rsidRDefault="00656B5B" w:rsidP="008444B0">
            <w:pPr>
              <w:rPr>
                <w:sz w:val="20"/>
                <w:szCs w:val="20"/>
              </w:rPr>
            </w:pPr>
            <w:r w:rsidRPr="009B1004">
              <w:rPr>
                <w:sz w:val="20"/>
                <w:szCs w:val="20"/>
              </w:rPr>
              <w:t>43.7%</w:t>
            </w:r>
          </w:p>
        </w:tc>
        <w:tc>
          <w:tcPr>
            <w:tcW w:w="1000" w:type="pct"/>
          </w:tcPr>
          <w:p w14:paraId="6C3D1684" w14:textId="77777777" w:rsidR="00656B5B" w:rsidRPr="009B1004" w:rsidRDefault="00656B5B" w:rsidP="008444B0">
            <w:pPr>
              <w:rPr>
                <w:sz w:val="20"/>
                <w:szCs w:val="20"/>
              </w:rPr>
            </w:pPr>
            <w:r w:rsidRPr="009B1004">
              <w:rPr>
                <w:sz w:val="20"/>
                <w:szCs w:val="20"/>
              </w:rPr>
              <w:t>36.1%</w:t>
            </w:r>
          </w:p>
        </w:tc>
        <w:tc>
          <w:tcPr>
            <w:tcW w:w="1000" w:type="pct"/>
          </w:tcPr>
          <w:p w14:paraId="7E95B61E" w14:textId="77777777" w:rsidR="00656B5B" w:rsidRPr="009B1004" w:rsidRDefault="00656B5B" w:rsidP="008444B0">
            <w:pPr>
              <w:rPr>
                <w:sz w:val="20"/>
                <w:szCs w:val="20"/>
              </w:rPr>
            </w:pPr>
            <w:r w:rsidRPr="009B1004">
              <w:rPr>
                <w:sz w:val="20"/>
                <w:szCs w:val="20"/>
              </w:rPr>
              <w:t>8.2%</w:t>
            </w:r>
          </w:p>
        </w:tc>
        <w:tc>
          <w:tcPr>
            <w:tcW w:w="1000" w:type="pct"/>
          </w:tcPr>
          <w:p w14:paraId="507899F4" w14:textId="77777777" w:rsidR="00656B5B" w:rsidRPr="009B1004" w:rsidRDefault="00656B5B" w:rsidP="008444B0">
            <w:pPr>
              <w:rPr>
                <w:sz w:val="20"/>
                <w:szCs w:val="20"/>
              </w:rPr>
            </w:pPr>
            <w:r w:rsidRPr="009B1004">
              <w:rPr>
                <w:sz w:val="20"/>
                <w:szCs w:val="20"/>
              </w:rPr>
              <w:t>12.0%</w:t>
            </w:r>
          </w:p>
        </w:tc>
      </w:tr>
      <w:tr w:rsidR="00656B5B" w:rsidRPr="009B1004" w14:paraId="0DD277ED" w14:textId="77777777" w:rsidTr="008444B0">
        <w:trPr>
          <w:trHeight w:val="288"/>
        </w:trPr>
        <w:tc>
          <w:tcPr>
            <w:tcW w:w="1000" w:type="pct"/>
          </w:tcPr>
          <w:p w14:paraId="315F98C0" w14:textId="77777777" w:rsidR="00656B5B" w:rsidRPr="009B1004" w:rsidRDefault="00656B5B" w:rsidP="008444B0">
            <w:pPr>
              <w:rPr>
                <w:sz w:val="20"/>
                <w:szCs w:val="20"/>
              </w:rPr>
            </w:pPr>
            <w:r w:rsidRPr="009B1004">
              <w:rPr>
                <w:sz w:val="20"/>
                <w:szCs w:val="20"/>
              </w:rPr>
              <w:t>2013 Respondents (2989)</w:t>
            </w:r>
          </w:p>
        </w:tc>
        <w:tc>
          <w:tcPr>
            <w:tcW w:w="1000" w:type="pct"/>
          </w:tcPr>
          <w:p w14:paraId="3B73DE7C" w14:textId="77777777" w:rsidR="00656B5B" w:rsidRPr="009B1004" w:rsidRDefault="00656B5B" w:rsidP="008444B0">
            <w:pPr>
              <w:rPr>
                <w:sz w:val="20"/>
                <w:szCs w:val="20"/>
              </w:rPr>
            </w:pPr>
            <w:r w:rsidRPr="009B1004">
              <w:rPr>
                <w:sz w:val="20"/>
                <w:szCs w:val="20"/>
              </w:rPr>
              <w:t>45%</w:t>
            </w:r>
          </w:p>
        </w:tc>
        <w:tc>
          <w:tcPr>
            <w:tcW w:w="1000" w:type="pct"/>
          </w:tcPr>
          <w:p w14:paraId="672B01A1" w14:textId="77777777" w:rsidR="00656B5B" w:rsidRPr="009B1004" w:rsidRDefault="00656B5B" w:rsidP="008444B0">
            <w:pPr>
              <w:rPr>
                <w:sz w:val="20"/>
                <w:szCs w:val="20"/>
              </w:rPr>
            </w:pPr>
            <w:r w:rsidRPr="009B1004">
              <w:rPr>
                <w:sz w:val="20"/>
                <w:szCs w:val="20"/>
              </w:rPr>
              <w:t>34.2%</w:t>
            </w:r>
          </w:p>
        </w:tc>
        <w:tc>
          <w:tcPr>
            <w:tcW w:w="1000" w:type="pct"/>
          </w:tcPr>
          <w:p w14:paraId="77EA5B5F" w14:textId="77777777" w:rsidR="00656B5B" w:rsidRPr="009B1004" w:rsidRDefault="00656B5B" w:rsidP="008444B0">
            <w:pPr>
              <w:rPr>
                <w:sz w:val="20"/>
                <w:szCs w:val="20"/>
              </w:rPr>
            </w:pPr>
            <w:r w:rsidRPr="009B1004">
              <w:rPr>
                <w:sz w:val="20"/>
                <w:szCs w:val="20"/>
              </w:rPr>
              <w:t>8.7%</w:t>
            </w:r>
          </w:p>
        </w:tc>
        <w:tc>
          <w:tcPr>
            <w:tcW w:w="1000" w:type="pct"/>
          </w:tcPr>
          <w:p w14:paraId="74C03C33" w14:textId="77777777" w:rsidR="00656B5B" w:rsidRPr="009B1004" w:rsidRDefault="00656B5B" w:rsidP="008444B0">
            <w:pPr>
              <w:rPr>
                <w:sz w:val="20"/>
                <w:szCs w:val="20"/>
              </w:rPr>
            </w:pPr>
            <w:r w:rsidRPr="009B1004">
              <w:rPr>
                <w:sz w:val="20"/>
                <w:szCs w:val="20"/>
              </w:rPr>
              <w:t>12.1%</w:t>
            </w:r>
          </w:p>
        </w:tc>
      </w:tr>
      <w:tr w:rsidR="00656B5B" w:rsidRPr="009B1004" w14:paraId="064D4C3F" w14:textId="77777777" w:rsidTr="008444B0">
        <w:trPr>
          <w:trHeight w:val="288"/>
        </w:trPr>
        <w:tc>
          <w:tcPr>
            <w:tcW w:w="1000" w:type="pct"/>
          </w:tcPr>
          <w:p w14:paraId="5E4F7B43" w14:textId="77777777" w:rsidR="00656B5B" w:rsidRPr="009B1004" w:rsidRDefault="00656B5B" w:rsidP="008444B0">
            <w:pPr>
              <w:rPr>
                <w:sz w:val="20"/>
                <w:szCs w:val="20"/>
              </w:rPr>
            </w:pPr>
            <w:r w:rsidRPr="009B1004">
              <w:rPr>
                <w:sz w:val="20"/>
                <w:szCs w:val="20"/>
              </w:rPr>
              <w:t>2012 Respondents (2620)</w:t>
            </w:r>
          </w:p>
        </w:tc>
        <w:tc>
          <w:tcPr>
            <w:tcW w:w="1000" w:type="pct"/>
          </w:tcPr>
          <w:p w14:paraId="2A38B413" w14:textId="77777777" w:rsidR="00656B5B" w:rsidRPr="009B1004" w:rsidRDefault="00656B5B" w:rsidP="008444B0">
            <w:pPr>
              <w:rPr>
                <w:sz w:val="20"/>
                <w:szCs w:val="20"/>
              </w:rPr>
            </w:pPr>
            <w:r w:rsidRPr="009B1004">
              <w:rPr>
                <w:sz w:val="20"/>
                <w:szCs w:val="20"/>
              </w:rPr>
              <w:t>49.7%</w:t>
            </w:r>
          </w:p>
        </w:tc>
        <w:tc>
          <w:tcPr>
            <w:tcW w:w="1000" w:type="pct"/>
          </w:tcPr>
          <w:p w14:paraId="5C61049B" w14:textId="77777777" w:rsidR="00656B5B" w:rsidRPr="009B1004" w:rsidRDefault="00656B5B" w:rsidP="008444B0">
            <w:pPr>
              <w:rPr>
                <w:sz w:val="20"/>
                <w:szCs w:val="20"/>
              </w:rPr>
            </w:pPr>
            <w:r w:rsidRPr="009B1004">
              <w:rPr>
                <w:sz w:val="20"/>
                <w:szCs w:val="20"/>
              </w:rPr>
              <w:t>30.4%</w:t>
            </w:r>
          </w:p>
        </w:tc>
        <w:tc>
          <w:tcPr>
            <w:tcW w:w="1000" w:type="pct"/>
          </w:tcPr>
          <w:p w14:paraId="10FAA7FF" w14:textId="77777777" w:rsidR="00656B5B" w:rsidRPr="009B1004" w:rsidRDefault="00656B5B" w:rsidP="008444B0">
            <w:pPr>
              <w:rPr>
                <w:sz w:val="20"/>
                <w:szCs w:val="20"/>
              </w:rPr>
            </w:pPr>
            <w:r w:rsidRPr="009B1004">
              <w:rPr>
                <w:sz w:val="20"/>
                <w:szCs w:val="20"/>
              </w:rPr>
              <w:t>7.7%</w:t>
            </w:r>
          </w:p>
        </w:tc>
        <w:tc>
          <w:tcPr>
            <w:tcW w:w="1000" w:type="pct"/>
          </w:tcPr>
          <w:p w14:paraId="7B0B9482" w14:textId="77777777" w:rsidR="00656B5B" w:rsidRPr="009B1004" w:rsidRDefault="00656B5B" w:rsidP="008444B0">
            <w:pPr>
              <w:rPr>
                <w:sz w:val="20"/>
                <w:szCs w:val="20"/>
              </w:rPr>
            </w:pPr>
            <w:r w:rsidRPr="009B1004">
              <w:rPr>
                <w:sz w:val="20"/>
                <w:szCs w:val="20"/>
              </w:rPr>
              <w:t>12.1%</w:t>
            </w:r>
          </w:p>
        </w:tc>
      </w:tr>
      <w:tr w:rsidR="00656B5B" w:rsidRPr="009B1004" w14:paraId="5EFCE41A" w14:textId="77777777" w:rsidTr="008444B0">
        <w:trPr>
          <w:trHeight w:val="288"/>
        </w:trPr>
        <w:tc>
          <w:tcPr>
            <w:tcW w:w="1000" w:type="pct"/>
          </w:tcPr>
          <w:p w14:paraId="5E72BAAB" w14:textId="77777777" w:rsidR="00656B5B" w:rsidRPr="009B1004" w:rsidRDefault="00656B5B" w:rsidP="008444B0">
            <w:pPr>
              <w:rPr>
                <w:sz w:val="20"/>
                <w:szCs w:val="20"/>
              </w:rPr>
            </w:pPr>
            <w:r w:rsidRPr="009B1004">
              <w:rPr>
                <w:sz w:val="20"/>
                <w:szCs w:val="20"/>
              </w:rPr>
              <w:t>2011 Respondents (2924)</w:t>
            </w:r>
          </w:p>
        </w:tc>
        <w:tc>
          <w:tcPr>
            <w:tcW w:w="1000" w:type="pct"/>
          </w:tcPr>
          <w:p w14:paraId="72700B48" w14:textId="77777777" w:rsidR="00656B5B" w:rsidRPr="009B1004" w:rsidRDefault="00656B5B" w:rsidP="008444B0">
            <w:pPr>
              <w:rPr>
                <w:sz w:val="20"/>
                <w:szCs w:val="20"/>
              </w:rPr>
            </w:pPr>
            <w:r w:rsidRPr="009B1004">
              <w:rPr>
                <w:sz w:val="20"/>
                <w:szCs w:val="20"/>
              </w:rPr>
              <w:t>45.9%</w:t>
            </w:r>
          </w:p>
        </w:tc>
        <w:tc>
          <w:tcPr>
            <w:tcW w:w="1000" w:type="pct"/>
          </w:tcPr>
          <w:p w14:paraId="4F6DCF34" w14:textId="77777777" w:rsidR="00656B5B" w:rsidRPr="009B1004" w:rsidRDefault="00656B5B" w:rsidP="008444B0">
            <w:pPr>
              <w:rPr>
                <w:sz w:val="20"/>
                <w:szCs w:val="20"/>
              </w:rPr>
            </w:pPr>
            <w:r w:rsidRPr="009B1004">
              <w:rPr>
                <w:sz w:val="20"/>
                <w:szCs w:val="20"/>
              </w:rPr>
              <w:t>31.7%</w:t>
            </w:r>
          </w:p>
        </w:tc>
        <w:tc>
          <w:tcPr>
            <w:tcW w:w="1000" w:type="pct"/>
          </w:tcPr>
          <w:p w14:paraId="42B2D615" w14:textId="77777777" w:rsidR="00656B5B" w:rsidRPr="009B1004" w:rsidRDefault="00656B5B" w:rsidP="008444B0">
            <w:pPr>
              <w:rPr>
                <w:sz w:val="20"/>
                <w:szCs w:val="20"/>
              </w:rPr>
            </w:pPr>
            <w:r w:rsidRPr="009B1004">
              <w:rPr>
                <w:sz w:val="20"/>
                <w:szCs w:val="20"/>
              </w:rPr>
              <w:t>8.8%</w:t>
            </w:r>
          </w:p>
        </w:tc>
        <w:tc>
          <w:tcPr>
            <w:tcW w:w="1000" w:type="pct"/>
          </w:tcPr>
          <w:p w14:paraId="61CBB573" w14:textId="77777777" w:rsidR="00656B5B" w:rsidRPr="009B1004" w:rsidRDefault="00656B5B" w:rsidP="008444B0">
            <w:pPr>
              <w:rPr>
                <w:sz w:val="20"/>
                <w:szCs w:val="20"/>
              </w:rPr>
            </w:pPr>
            <w:r w:rsidRPr="009B1004">
              <w:rPr>
                <w:sz w:val="20"/>
                <w:szCs w:val="20"/>
              </w:rPr>
              <w:t>13.6%</w:t>
            </w:r>
          </w:p>
        </w:tc>
      </w:tr>
      <w:tr w:rsidR="00656B5B" w:rsidRPr="009B1004" w14:paraId="5391797B" w14:textId="77777777" w:rsidTr="008444B0">
        <w:trPr>
          <w:trHeight w:val="288"/>
        </w:trPr>
        <w:tc>
          <w:tcPr>
            <w:tcW w:w="1000" w:type="pct"/>
          </w:tcPr>
          <w:p w14:paraId="26C7A5CB" w14:textId="77777777" w:rsidR="00656B5B" w:rsidRPr="009B1004" w:rsidRDefault="00656B5B" w:rsidP="008444B0">
            <w:pPr>
              <w:rPr>
                <w:sz w:val="20"/>
                <w:szCs w:val="20"/>
              </w:rPr>
            </w:pPr>
            <w:r w:rsidRPr="009B1004">
              <w:rPr>
                <w:sz w:val="20"/>
                <w:szCs w:val="20"/>
              </w:rPr>
              <w:t>2010 Respondents (2279)</w:t>
            </w:r>
          </w:p>
        </w:tc>
        <w:tc>
          <w:tcPr>
            <w:tcW w:w="1000" w:type="pct"/>
          </w:tcPr>
          <w:p w14:paraId="5430293F" w14:textId="77777777" w:rsidR="00656B5B" w:rsidRPr="009B1004" w:rsidRDefault="00656B5B" w:rsidP="008444B0">
            <w:pPr>
              <w:rPr>
                <w:sz w:val="20"/>
                <w:szCs w:val="20"/>
              </w:rPr>
            </w:pPr>
            <w:r w:rsidRPr="009B1004">
              <w:rPr>
                <w:sz w:val="20"/>
                <w:szCs w:val="20"/>
              </w:rPr>
              <w:t>43.9%</w:t>
            </w:r>
          </w:p>
        </w:tc>
        <w:tc>
          <w:tcPr>
            <w:tcW w:w="1000" w:type="pct"/>
          </w:tcPr>
          <w:p w14:paraId="56AB412F" w14:textId="77777777" w:rsidR="00656B5B" w:rsidRPr="009B1004" w:rsidRDefault="00656B5B" w:rsidP="008444B0">
            <w:pPr>
              <w:rPr>
                <w:sz w:val="20"/>
                <w:szCs w:val="20"/>
              </w:rPr>
            </w:pPr>
            <w:r w:rsidRPr="009B1004">
              <w:rPr>
                <w:sz w:val="20"/>
                <w:szCs w:val="20"/>
              </w:rPr>
              <w:t>33.7%</w:t>
            </w:r>
          </w:p>
        </w:tc>
        <w:tc>
          <w:tcPr>
            <w:tcW w:w="1000" w:type="pct"/>
          </w:tcPr>
          <w:p w14:paraId="02F0861D" w14:textId="77777777" w:rsidR="00656B5B" w:rsidRPr="009B1004" w:rsidRDefault="00656B5B" w:rsidP="008444B0">
            <w:pPr>
              <w:rPr>
                <w:sz w:val="20"/>
                <w:szCs w:val="20"/>
              </w:rPr>
            </w:pPr>
            <w:r w:rsidRPr="009B1004">
              <w:rPr>
                <w:sz w:val="20"/>
                <w:szCs w:val="20"/>
              </w:rPr>
              <w:t>9.6%</w:t>
            </w:r>
          </w:p>
        </w:tc>
        <w:tc>
          <w:tcPr>
            <w:tcW w:w="1000" w:type="pct"/>
          </w:tcPr>
          <w:p w14:paraId="6055B870" w14:textId="77777777" w:rsidR="00656B5B" w:rsidRPr="009B1004" w:rsidRDefault="00656B5B" w:rsidP="008444B0">
            <w:pPr>
              <w:rPr>
                <w:sz w:val="20"/>
                <w:szCs w:val="20"/>
              </w:rPr>
            </w:pPr>
            <w:r w:rsidRPr="009B1004">
              <w:rPr>
                <w:sz w:val="20"/>
                <w:szCs w:val="20"/>
              </w:rPr>
              <w:t>12.8%</w:t>
            </w:r>
          </w:p>
        </w:tc>
      </w:tr>
      <w:tr w:rsidR="00656B5B" w:rsidRPr="009B1004" w14:paraId="5C387502" w14:textId="77777777" w:rsidTr="008444B0">
        <w:trPr>
          <w:trHeight w:val="288"/>
        </w:trPr>
        <w:tc>
          <w:tcPr>
            <w:tcW w:w="1000" w:type="pct"/>
          </w:tcPr>
          <w:p w14:paraId="0EEE3788" w14:textId="77777777" w:rsidR="00656B5B" w:rsidRPr="009B1004" w:rsidRDefault="00656B5B" w:rsidP="008444B0">
            <w:pPr>
              <w:rPr>
                <w:sz w:val="20"/>
                <w:szCs w:val="20"/>
              </w:rPr>
            </w:pPr>
            <w:r w:rsidRPr="009B1004">
              <w:rPr>
                <w:sz w:val="20"/>
                <w:szCs w:val="20"/>
              </w:rPr>
              <w:t>2009 Respondents (3042)</w:t>
            </w:r>
          </w:p>
        </w:tc>
        <w:tc>
          <w:tcPr>
            <w:tcW w:w="1000" w:type="pct"/>
          </w:tcPr>
          <w:p w14:paraId="63D519B2" w14:textId="77777777" w:rsidR="00656B5B" w:rsidRPr="009B1004" w:rsidRDefault="00656B5B" w:rsidP="008444B0">
            <w:pPr>
              <w:rPr>
                <w:sz w:val="20"/>
                <w:szCs w:val="20"/>
              </w:rPr>
            </w:pPr>
            <w:r w:rsidRPr="009B1004">
              <w:rPr>
                <w:sz w:val="20"/>
                <w:szCs w:val="20"/>
              </w:rPr>
              <w:t>42.3%</w:t>
            </w:r>
          </w:p>
        </w:tc>
        <w:tc>
          <w:tcPr>
            <w:tcW w:w="1000" w:type="pct"/>
          </w:tcPr>
          <w:p w14:paraId="0147B1D6" w14:textId="77777777" w:rsidR="00656B5B" w:rsidRPr="009B1004" w:rsidRDefault="00656B5B" w:rsidP="008444B0">
            <w:pPr>
              <w:rPr>
                <w:sz w:val="20"/>
                <w:szCs w:val="20"/>
              </w:rPr>
            </w:pPr>
            <w:r w:rsidRPr="009B1004">
              <w:rPr>
                <w:sz w:val="20"/>
                <w:szCs w:val="20"/>
              </w:rPr>
              <w:t>31.7%</w:t>
            </w:r>
          </w:p>
        </w:tc>
        <w:tc>
          <w:tcPr>
            <w:tcW w:w="1000" w:type="pct"/>
          </w:tcPr>
          <w:p w14:paraId="367E0EFF" w14:textId="77777777" w:rsidR="00656B5B" w:rsidRPr="009B1004" w:rsidRDefault="00656B5B" w:rsidP="008444B0">
            <w:pPr>
              <w:rPr>
                <w:sz w:val="20"/>
                <w:szCs w:val="20"/>
              </w:rPr>
            </w:pPr>
            <w:r w:rsidRPr="009B1004">
              <w:rPr>
                <w:sz w:val="20"/>
                <w:szCs w:val="20"/>
              </w:rPr>
              <w:t>21.0%</w:t>
            </w:r>
          </w:p>
        </w:tc>
        <w:tc>
          <w:tcPr>
            <w:tcW w:w="1000" w:type="pct"/>
          </w:tcPr>
          <w:p w14:paraId="1D122595" w14:textId="77777777" w:rsidR="00656B5B" w:rsidRPr="009B1004" w:rsidRDefault="00656B5B" w:rsidP="008444B0">
            <w:pPr>
              <w:rPr>
                <w:sz w:val="20"/>
                <w:szCs w:val="20"/>
              </w:rPr>
            </w:pPr>
            <w:r w:rsidRPr="009B1004">
              <w:rPr>
                <w:sz w:val="20"/>
                <w:szCs w:val="20"/>
              </w:rPr>
              <w:t>5.0%</w:t>
            </w:r>
          </w:p>
        </w:tc>
      </w:tr>
      <w:tr w:rsidR="00656B5B" w:rsidRPr="009B1004" w14:paraId="44A6D2D2" w14:textId="77777777" w:rsidTr="008444B0">
        <w:tc>
          <w:tcPr>
            <w:tcW w:w="5000" w:type="pct"/>
            <w:gridSpan w:val="5"/>
            <w:shd w:val="clear" w:color="auto" w:fill="C00000"/>
          </w:tcPr>
          <w:p w14:paraId="7CEDAA2F" w14:textId="77777777" w:rsidR="00656B5B" w:rsidRPr="009B1004" w:rsidRDefault="00656B5B" w:rsidP="008444B0">
            <w:pPr>
              <w:jc w:val="center"/>
              <w:rPr>
                <w:sz w:val="20"/>
                <w:szCs w:val="20"/>
              </w:rPr>
            </w:pPr>
            <w:r>
              <w:rPr>
                <w:sz w:val="20"/>
                <w:szCs w:val="20"/>
              </w:rPr>
              <w:t>2014 – 2016</w:t>
            </w:r>
            <w:r w:rsidRPr="009B1004">
              <w:rPr>
                <w:sz w:val="20"/>
                <w:szCs w:val="20"/>
              </w:rPr>
              <w:t xml:space="preserve"> FY CAP Comparison (</w:t>
            </w:r>
            <w:r>
              <w:rPr>
                <w:sz w:val="20"/>
                <w:szCs w:val="20"/>
              </w:rPr>
              <w:t xml:space="preserve">UNL </w:t>
            </w:r>
            <w:r w:rsidRPr="009B1004">
              <w:rPr>
                <w:sz w:val="20"/>
                <w:szCs w:val="20"/>
              </w:rPr>
              <w:t xml:space="preserve">Greek vs </w:t>
            </w:r>
            <w:r>
              <w:rPr>
                <w:sz w:val="20"/>
                <w:szCs w:val="20"/>
              </w:rPr>
              <w:t xml:space="preserve">UNL </w:t>
            </w:r>
            <w:r w:rsidRPr="009B1004">
              <w:rPr>
                <w:sz w:val="20"/>
                <w:szCs w:val="20"/>
              </w:rPr>
              <w:t>Non Greek)</w:t>
            </w:r>
          </w:p>
        </w:tc>
      </w:tr>
      <w:tr w:rsidR="00843CE8" w:rsidRPr="00843CE8" w14:paraId="7D2F9283" w14:textId="77777777" w:rsidTr="008444B0">
        <w:trPr>
          <w:trHeight w:val="288"/>
        </w:trPr>
        <w:tc>
          <w:tcPr>
            <w:tcW w:w="1000" w:type="pct"/>
          </w:tcPr>
          <w:p w14:paraId="4EF2A4F8" w14:textId="77777777" w:rsidR="00656B5B" w:rsidRPr="00843CE8" w:rsidRDefault="00656B5B" w:rsidP="008444B0">
            <w:pPr>
              <w:rPr>
                <w:color w:val="C00000"/>
                <w:sz w:val="20"/>
                <w:szCs w:val="20"/>
              </w:rPr>
            </w:pPr>
            <w:r w:rsidRPr="00843CE8">
              <w:rPr>
                <w:color w:val="C00000"/>
                <w:sz w:val="20"/>
                <w:szCs w:val="20"/>
              </w:rPr>
              <w:t>2016 Greek Respondents (889)</w:t>
            </w:r>
          </w:p>
        </w:tc>
        <w:tc>
          <w:tcPr>
            <w:tcW w:w="1000" w:type="pct"/>
          </w:tcPr>
          <w:p w14:paraId="4DAFA066" w14:textId="77777777" w:rsidR="00656B5B" w:rsidRPr="00843CE8" w:rsidRDefault="00656B5B" w:rsidP="008444B0">
            <w:pPr>
              <w:rPr>
                <w:color w:val="C00000"/>
                <w:sz w:val="20"/>
                <w:szCs w:val="20"/>
              </w:rPr>
            </w:pPr>
            <w:r w:rsidRPr="00843CE8">
              <w:rPr>
                <w:color w:val="C00000"/>
                <w:sz w:val="20"/>
                <w:szCs w:val="20"/>
              </w:rPr>
              <w:t>27.2%</w:t>
            </w:r>
          </w:p>
        </w:tc>
        <w:tc>
          <w:tcPr>
            <w:tcW w:w="1000" w:type="pct"/>
          </w:tcPr>
          <w:p w14:paraId="65A94EE1" w14:textId="77777777" w:rsidR="00656B5B" w:rsidRPr="00843CE8" w:rsidRDefault="00656B5B" w:rsidP="008444B0">
            <w:pPr>
              <w:rPr>
                <w:color w:val="C00000"/>
                <w:sz w:val="20"/>
                <w:szCs w:val="20"/>
              </w:rPr>
            </w:pPr>
            <w:r w:rsidRPr="00843CE8">
              <w:rPr>
                <w:color w:val="C00000"/>
                <w:sz w:val="20"/>
                <w:szCs w:val="20"/>
              </w:rPr>
              <w:t>41.8%</w:t>
            </w:r>
          </w:p>
        </w:tc>
        <w:tc>
          <w:tcPr>
            <w:tcW w:w="1000" w:type="pct"/>
          </w:tcPr>
          <w:p w14:paraId="2B44082C" w14:textId="77777777" w:rsidR="00656B5B" w:rsidRPr="00843CE8" w:rsidRDefault="00656B5B" w:rsidP="008444B0">
            <w:pPr>
              <w:rPr>
                <w:color w:val="C00000"/>
                <w:sz w:val="20"/>
                <w:szCs w:val="20"/>
              </w:rPr>
            </w:pPr>
            <w:r w:rsidRPr="00843CE8">
              <w:rPr>
                <w:color w:val="C00000"/>
                <w:sz w:val="20"/>
                <w:szCs w:val="20"/>
              </w:rPr>
              <w:t>12.9%</w:t>
            </w:r>
          </w:p>
        </w:tc>
        <w:tc>
          <w:tcPr>
            <w:tcW w:w="1000" w:type="pct"/>
          </w:tcPr>
          <w:p w14:paraId="6BFA522E" w14:textId="77777777" w:rsidR="00656B5B" w:rsidRPr="00843CE8" w:rsidRDefault="00656B5B" w:rsidP="008444B0">
            <w:pPr>
              <w:rPr>
                <w:color w:val="C00000"/>
                <w:sz w:val="20"/>
                <w:szCs w:val="20"/>
              </w:rPr>
            </w:pPr>
            <w:r w:rsidRPr="00843CE8">
              <w:rPr>
                <w:color w:val="C00000"/>
                <w:sz w:val="20"/>
                <w:szCs w:val="20"/>
              </w:rPr>
              <w:t>18.1%</w:t>
            </w:r>
          </w:p>
        </w:tc>
      </w:tr>
      <w:tr w:rsidR="00656B5B" w:rsidRPr="00FA7D4B" w14:paraId="4A1399ED" w14:textId="77777777" w:rsidTr="008444B0">
        <w:trPr>
          <w:trHeight w:val="288"/>
        </w:trPr>
        <w:tc>
          <w:tcPr>
            <w:tcW w:w="1000" w:type="pct"/>
          </w:tcPr>
          <w:p w14:paraId="2514A9B2" w14:textId="4367C4C4" w:rsidR="00656B5B" w:rsidRPr="00FA7D4B" w:rsidRDefault="00656B5B" w:rsidP="008444B0">
            <w:pPr>
              <w:rPr>
                <w:color w:val="C00000"/>
                <w:sz w:val="20"/>
                <w:szCs w:val="20"/>
              </w:rPr>
            </w:pPr>
            <w:r w:rsidRPr="00FA7D4B">
              <w:rPr>
                <w:color w:val="C00000"/>
                <w:sz w:val="20"/>
                <w:szCs w:val="20"/>
              </w:rPr>
              <w:t>2016 NCC</w:t>
            </w:r>
            <w:r w:rsidR="00843CE8">
              <w:rPr>
                <w:color w:val="C00000"/>
                <w:sz w:val="20"/>
                <w:szCs w:val="20"/>
              </w:rPr>
              <w:t>*</w:t>
            </w:r>
            <w:r w:rsidRPr="00FA7D4B">
              <w:rPr>
                <w:color w:val="C00000"/>
                <w:sz w:val="20"/>
                <w:szCs w:val="20"/>
              </w:rPr>
              <w:t xml:space="preserve"> Respondents (1798)</w:t>
            </w:r>
          </w:p>
        </w:tc>
        <w:tc>
          <w:tcPr>
            <w:tcW w:w="1000" w:type="pct"/>
          </w:tcPr>
          <w:p w14:paraId="24BEE01E" w14:textId="77777777" w:rsidR="00656B5B" w:rsidRPr="00FA7D4B" w:rsidRDefault="00656B5B" w:rsidP="008444B0">
            <w:pPr>
              <w:rPr>
                <w:color w:val="C00000"/>
                <w:sz w:val="20"/>
                <w:szCs w:val="20"/>
              </w:rPr>
            </w:pPr>
            <w:r w:rsidRPr="00FA7D4B">
              <w:rPr>
                <w:color w:val="C00000"/>
                <w:sz w:val="20"/>
                <w:szCs w:val="20"/>
              </w:rPr>
              <w:t>34.7%</w:t>
            </w:r>
          </w:p>
        </w:tc>
        <w:tc>
          <w:tcPr>
            <w:tcW w:w="1000" w:type="pct"/>
          </w:tcPr>
          <w:p w14:paraId="49A89931" w14:textId="77777777" w:rsidR="00656B5B" w:rsidRPr="00FA7D4B" w:rsidRDefault="00656B5B" w:rsidP="008444B0">
            <w:pPr>
              <w:rPr>
                <w:color w:val="C00000"/>
                <w:sz w:val="20"/>
                <w:szCs w:val="20"/>
              </w:rPr>
            </w:pPr>
            <w:r w:rsidRPr="00FA7D4B">
              <w:rPr>
                <w:color w:val="C00000"/>
                <w:sz w:val="20"/>
                <w:szCs w:val="20"/>
              </w:rPr>
              <w:t>42%</w:t>
            </w:r>
          </w:p>
        </w:tc>
        <w:tc>
          <w:tcPr>
            <w:tcW w:w="1000" w:type="pct"/>
          </w:tcPr>
          <w:p w14:paraId="6409D2C7" w14:textId="77777777" w:rsidR="00656B5B" w:rsidRPr="00FA7D4B" w:rsidRDefault="00656B5B" w:rsidP="008444B0">
            <w:pPr>
              <w:rPr>
                <w:color w:val="C00000"/>
                <w:sz w:val="20"/>
                <w:szCs w:val="20"/>
              </w:rPr>
            </w:pPr>
            <w:r w:rsidRPr="00FA7D4B">
              <w:rPr>
                <w:color w:val="C00000"/>
                <w:sz w:val="20"/>
                <w:szCs w:val="20"/>
              </w:rPr>
              <w:t>9.4%</w:t>
            </w:r>
          </w:p>
        </w:tc>
        <w:tc>
          <w:tcPr>
            <w:tcW w:w="1000" w:type="pct"/>
          </w:tcPr>
          <w:p w14:paraId="67E7FE4C" w14:textId="77777777" w:rsidR="00656B5B" w:rsidRPr="00FA7D4B" w:rsidRDefault="00656B5B" w:rsidP="008444B0">
            <w:pPr>
              <w:rPr>
                <w:color w:val="C00000"/>
                <w:sz w:val="20"/>
                <w:szCs w:val="20"/>
              </w:rPr>
            </w:pPr>
            <w:r w:rsidRPr="00FA7D4B">
              <w:rPr>
                <w:color w:val="C00000"/>
                <w:sz w:val="20"/>
                <w:szCs w:val="20"/>
              </w:rPr>
              <w:t>13.9%</w:t>
            </w:r>
          </w:p>
        </w:tc>
      </w:tr>
      <w:tr w:rsidR="00656B5B" w:rsidRPr="009B1004" w14:paraId="5F2B36E8" w14:textId="77777777" w:rsidTr="008444B0">
        <w:trPr>
          <w:trHeight w:val="288"/>
        </w:trPr>
        <w:tc>
          <w:tcPr>
            <w:tcW w:w="1000" w:type="pct"/>
          </w:tcPr>
          <w:p w14:paraId="6D04FDA6" w14:textId="77777777" w:rsidR="00656B5B" w:rsidRPr="009B1004" w:rsidRDefault="00656B5B" w:rsidP="008444B0">
            <w:pPr>
              <w:rPr>
                <w:sz w:val="20"/>
                <w:szCs w:val="20"/>
              </w:rPr>
            </w:pPr>
            <w:r w:rsidRPr="009B1004">
              <w:rPr>
                <w:sz w:val="20"/>
                <w:szCs w:val="20"/>
              </w:rPr>
              <w:t>2016 Non-Greek Respondents</w:t>
            </w:r>
          </w:p>
        </w:tc>
        <w:tc>
          <w:tcPr>
            <w:tcW w:w="1000" w:type="pct"/>
          </w:tcPr>
          <w:p w14:paraId="7383C05D" w14:textId="77777777" w:rsidR="00656B5B" w:rsidRPr="009B1004" w:rsidRDefault="00656B5B" w:rsidP="008444B0">
            <w:pPr>
              <w:rPr>
                <w:sz w:val="20"/>
                <w:szCs w:val="20"/>
              </w:rPr>
            </w:pPr>
            <w:r w:rsidRPr="009B1004">
              <w:rPr>
                <w:sz w:val="20"/>
                <w:szCs w:val="20"/>
              </w:rPr>
              <w:t>49.2%</w:t>
            </w:r>
          </w:p>
        </w:tc>
        <w:tc>
          <w:tcPr>
            <w:tcW w:w="1000" w:type="pct"/>
          </w:tcPr>
          <w:p w14:paraId="2077A1C1" w14:textId="77777777" w:rsidR="00656B5B" w:rsidRPr="009B1004" w:rsidRDefault="00656B5B" w:rsidP="008444B0">
            <w:pPr>
              <w:rPr>
                <w:sz w:val="20"/>
                <w:szCs w:val="20"/>
              </w:rPr>
            </w:pPr>
            <w:r w:rsidRPr="009B1004">
              <w:rPr>
                <w:sz w:val="20"/>
                <w:szCs w:val="20"/>
              </w:rPr>
              <w:t>35.2%</w:t>
            </w:r>
          </w:p>
        </w:tc>
        <w:tc>
          <w:tcPr>
            <w:tcW w:w="1000" w:type="pct"/>
          </w:tcPr>
          <w:p w14:paraId="2885273B" w14:textId="77777777" w:rsidR="00656B5B" w:rsidRPr="009B1004" w:rsidRDefault="00656B5B" w:rsidP="008444B0">
            <w:pPr>
              <w:rPr>
                <w:sz w:val="20"/>
                <w:szCs w:val="20"/>
              </w:rPr>
            </w:pPr>
            <w:r w:rsidRPr="009B1004">
              <w:rPr>
                <w:sz w:val="20"/>
                <w:szCs w:val="20"/>
              </w:rPr>
              <w:t>7.8%</w:t>
            </w:r>
          </w:p>
        </w:tc>
        <w:tc>
          <w:tcPr>
            <w:tcW w:w="1000" w:type="pct"/>
          </w:tcPr>
          <w:p w14:paraId="173ECC2A" w14:textId="77777777" w:rsidR="00656B5B" w:rsidRPr="009B1004" w:rsidRDefault="00656B5B" w:rsidP="008444B0">
            <w:pPr>
              <w:rPr>
                <w:sz w:val="20"/>
                <w:szCs w:val="20"/>
              </w:rPr>
            </w:pPr>
            <w:r w:rsidRPr="009B1004">
              <w:rPr>
                <w:sz w:val="20"/>
                <w:szCs w:val="20"/>
              </w:rPr>
              <w:t>7.9%</w:t>
            </w:r>
          </w:p>
        </w:tc>
      </w:tr>
      <w:tr w:rsidR="00656B5B" w:rsidRPr="009B1004" w14:paraId="76E79EAE" w14:textId="77777777" w:rsidTr="008444B0">
        <w:trPr>
          <w:trHeight w:val="288"/>
        </w:trPr>
        <w:tc>
          <w:tcPr>
            <w:tcW w:w="1000" w:type="pct"/>
          </w:tcPr>
          <w:p w14:paraId="17E63F58" w14:textId="77777777" w:rsidR="00656B5B" w:rsidRPr="009B1004" w:rsidRDefault="00656B5B" w:rsidP="008444B0">
            <w:pPr>
              <w:rPr>
                <w:sz w:val="20"/>
                <w:szCs w:val="20"/>
              </w:rPr>
            </w:pPr>
            <w:r w:rsidRPr="009B1004">
              <w:rPr>
                <w:sz w:val="20"/>
                <w:szCs w:val="20"/>
              </w:rPr>
              <w:t xml:space="preserve">2015 Greek Respondents </w:t>
            </w:r>
          </w:p>
        </w:tc>
        <w:tc>
          <w:tcPr>
            <w:tcW w:w="1000" w:type="pct"/>
          </w:tcPr>
          <w:p w14:paraId="7718DD5F" w14:textId="77777777" w:rsidR="00656B5B" w:rsidRPr="009B1004" w:rsidRDefault="00656B5B" w:rsidP="008444B0">
            <w:pPr>
              <w:rPr>
                <w:sz w:val="20"/>
                <w:szCs w:val="20"/>
              </w:rPr>
            </w:pPr>
            <w:r w:rsidRPr="009B1004">
              <w:rPr>
                <w:sz w:val="20"/>
                <w:szCs w:val="20"/>
              </w:rPr>
              <w:t>25.6%</w:t>
            </w:r>
          </w:p>
        </w:tc>
        <w:tc>
          <w:tcPr>
            <w:tcW w:w="1000" w:type="pct"/>
          </w:tcPr>
          <w:p w14:paraId="0FF16D84" w14:textId="77777777" w:rsidR="00656B5B" w:rsidRPr="009B1004" w:rsidRDefault="00656B5B" w:rsidP="008444B0">
            <w:pPr>
              <w:rPr>
                <w:sz w:val="20"/>
                <w:szCs w:val="20"/>
              </w:rPr>
            </w:pPr>
            <w:r w:rsidRPr="009B1004">
              <w:rPr>
                <w:sz w:val="20"/>
                <w:szCs w:val="20"/>
              </w:rPr>
              <w:t>44.5%</w:t>
            </w:r>
          </w:p>
        </w:tc>
        <w:tc>
          <w:tcPr>
            <w:tcW w:w="1000" w:type="pct"/>
          </w:tcPr>
          <w:p w14:paraId="3C0318ED" w14:textId="77777777" w:rsidR="00656B5B" w:rsidRPr="009B1004" w:rsidRDefault="00656B5B" w:rsidP="008444B0">
            <w:pPr>
              <w:rPr>
                <w:sz w:val="20"/>
                <w:szCs w:val="20"/>
              </w:rPr>
            </w:pPr>
            <w:r w:rsidRPr="009B1004">
              <w:rPr>
                <w:sz w:val="20"/>
                <w:szCs w:val="20"/>
              </w:rPr>
              <w:t>10.4%</w:t>
            </w:r>
          </w:p>
        </w:tc>
        <w:tc>
          <w:tcPr>
            <w:tcW w:w="1000" w:type="pct"/>
          </w:tcPr>
          <w:p w14:paraId="5DE009DF" w14:textId="77777777" w:rsidR="00656B5B" w:rsidRPr="009B1004" w:rsidRDefault="00656B5B" w:rsidP="008444B0">
            <w:pPr>
              <w:rPr>
                <w:sz w:val="20"/>
                <w:szCs w:val="20"/>
              </w:rPr>
            </w:pPr>
            <w:r w:rsidRPr="009B1004">
              <w:rPr>
                <w:sz w:val="20"/>
                <w:szCs w:val="20"/>
              </w:rPr>
              <w:t>11.2%</w:t>
            </w:r>
          </w:p>
        </w:tc>
      </w:tr>
      <w:tr w:rsidR="00656B5B" w:rsidRPr="009B1004" w14:paraId="43CAFD20" w14:textId="77777777" w:rsidTr="008444B0">
        <w:trPr>
          <w:trHeight w:val="288"/>
        </w:trPr>
        <w:tc>
          <w:tcPr>
            <w:tcW w:w="1000" w:type="pct"/>
          </w:tcPr>
          <w:p w14:paraId="2EBF5DEA" w14:textId="77777777" w:rsidR="00656B5B" w:rsidRPr="009B1004" w:rsidRDefault="00656B5B" w:rsidP="008444B0">
            <w:pPr>
              <w:rPr>
                <w:sz w:val="20"/>
                <w:szCs w:val="20"/>
              </w:rPr>
            </w:pPr>
            <w:r w:rsidRPr="009B1004">
              <w:rPr>
                <w:sz w:val="20"/>
                <w:szCs w:val="20"/>
              </w:rPr>
              <w:t>2015 Non-Greek Respondents</w:t>
            </w:r>
            <w:r>
              <w:rPr>
                <w:sz w:val="20"/>
                <w:szCs w:val="20"/>
              </w:rPr>
              <w:t xml:space="preserve"> </w:t>
            </w:r>
          </w:p>
        </w:tc>
        <w:tc>
          <w:tcPr>
            <w:tcW w:w="1000" w:type="pct"/>
          </w:tcPr>
          <w:p w14:paraId="7E82B8A4" w14:textId="77777777" w:rsidR="00656B5B" w:rsidRPr="009B1004" w:rsidRDefault="00656B5B" w:rsidP="008444B0">
            <w:pPr>
              <w:rPr>
                <w:sz w:val="20"/>
                <w:szCs w:val="20"/>
              </w:rPr>
            </w:pPr>
            <w:r w:rsidRPr="009B1004">
              <w:rPr>
                <w:sz w:val="20"/>
                <w:szCs w:val="20"/>
              </w:rPr>
              <w:t>49%</w:t>
            </w:r>
          </w:p>
        </w:tc>
        <w:tc>
          <w:tcPr>
            <w:tcW w:w="1000" w:type="pct"/>
          </w:tcPr>
          <w:p w14:paraId="77F25539" w14:textId="77777777" w:rsidR="00656B5B" w:rsidRPr="009B1004" w:rsidRDefault="00656B5B" w:rsidP="008444B0">
            <w:pPr>
              <w:rPr>
                <w:sz w:val="20"/>
                <w:szCs w:val="20"/>
              </w:rPr>
            </w:pPr>
            <w:r w:rsidRPr="009B1004">
              <w:rPr>
                <w:sz w:val="20"/>
                <w:szCs w:val="20"/>
              </w:rPr>
              <w:t>37.9%</w:t>
            </w:r>
          </w:p>
        </w:tc>
        <w:tc>
          <w:tcPr>
            <w:tcW w:w="1000" w:type="pct"/>
          </w:tcPr>
          <w:p w14:paraId="26BC7068" w14:textId="77777777" w:rsidR="00656B5B" w:rsidRPr="009B1004" w:rsidRDefault="00656B5B" w:rsidP="008444B0">
            <w:pPr>
              <w:rPr>
                <w:sz w:val="20"/>
                <w:szCs w:val="20"/>
              </w:rPr>
            </w:pPr>
            <w:r w:rsidRPr="009B1004">
              <w:rPr>
                <w:sz w:val="20"/>
                <w:szCs w:val="20"/>
              </w:rPr>
              <w:t>6.4%</w:t>
            </w:r>
          </w:p>
        </w:tc>
        <w:tc>
          <w:tcPr>
            <w:tcW w:w="1000" w:type="pct"/>
          </w:tcPr>
          <w:p w14:paraId="263113A2" w14:textId="77777777" w:rsidR="00656B5B" w:rsidRPr="009B1004" w:rsidRDefault="00656B5B" w:rsidP="008444B0">
            <w:pPr>
              <w:rPr>
                <w:sz w:val="20"/>
                <w:szCs w:val="20"/>
              </w:rPr>
            </w:pPr>
            <w:r w:rsidRPr="009B1004">
              <w:rPr>
                <w:sz w:val="20"/>
                <w:szCs w:val="20"/>
              </w:rPr>
              <w:t>6.8%</w:t>
            </w:r>
          </w:p>
        </w:tc>
      </w:tr>
      <w:tr w:rsidR="00656B5B" w:rsidRPr="009B1004" w14:paraId="016DC2C2" w14:textId="77777777" w:rsidTr="008444B0">
        <w:trPr>
          <w:trHeight w:val="288"/>
        </w:trPr>
        <w:tc>
          <w:tcPr>
            <w:tcW w:w="1000" w:type="pct"/>
          </w:tcPr>
          <w:p w14:paraId="5D5D9535" w14:textId="77777777" w:rsidR="00656B5B" w:rsidRPr="009B1004" w:rsidRDefault="00656B5B" w:rsidP="008444B0">
            <w:pPr>
              <w:rPr>
                <w:sz w:val="20"/>
                <w:szCs w:val="20"/>
              </w:rPr>
            </w:pPr>
            <w:r w:rsidRPr="009B1004">
              <w:rPr>
                <w:sz w:val="20"/>
                <w:szCs w:val="20"/>
              </w:rPr>
              <w:t>2014 Greek Respondents</w:t>
            </w:r>
          </w:p>
        </w:tc>
        <w:tc>
          <w:tcPr>
            <w:tcW w:w="1000" w:type="pct"/>
          </w:tcPr>
          <w:p w14:paraId="6A31F143" w14:textId="77777777" w:rsidR="00656B5B" w:rsidRPr="009B1004" w:rsidRDefault="00656B5B" w:rsidP="008444B0">
            <w:pPr>
              <w:rPr>
                <w:sz w:val="20"/>
                <w:szCs w:val="20"/>
              </w:rPr>
            </w:pPr>
            <w:r w:rsidRPr="009B1004">
              <w:rPr>
                <w:sz w:val="20"/>
                <w:szCs w:val="20"/>
              </w:rPr>
              <w:t>29.2%</w:t>
            </w:r>
          </w:p>
        </w:tc>
        <w:tc>
          <w:tcPr>
            <w:tcW w:w="1000" w:type="pct"/>
          </w:tcPr>
          <w:p w14:paraId="19017D78" w14:textId="77777777" w:rsidR="00656B5B" w:rsidRPr="009B1004" w:rsidRDefault="00656B5B" w:rsidP="008444B0">
            <w:pPr>
              <w:rPr>
                <w:sz w:val="20"/>
                <w:szCs w:val="20"/>
              </w:rPr>
            </w:pPr>
            <w:r w:rsidRPr="009B1004">
              <w:rPr>
                <w:sz w:val="20"/>
                <w:szCs w:val="20"/>
              </w:rPr>
              <w:t>37.9%</w:t>
            </w:r>
          </w:p>
        </w:tc>
        <w:tc>
          <w:tcPr>
            <w:tcW w:w="1000" w:type="pct"/>
          </w:tcPr>
          <w:p w14:paraId="69372E2C" w14:textId="77777777" w:rsidR="00656B5B" w:rsidRPr="009B1004" w:rsidRDefault="00656B5B" w:rsidP="008444B0">
            <w:pPr>
              <w:rPr>
                <w:sz w:val="20"/>
                <w:szCs w:val="20"/>
              </w:rPr>
            </w:pPr>
            <w:r w:rsidRPr="009B1004">
              <w:rPr>
                <w:sz w:val="20"/>
                <w:szCs w:val="20"/>
              </w:rPr>
              <w:t>12.7%</w:t>
            </w:r>
          </w:p>
        </w:tc>
        <w:tc>
          <w:tcPr>
            <w:tcW w:w="1000" w:type="pct"/>
          </w:tcPr>
          <w:p w14:paraId="04F33610" w14:textId="77777777" w:rsidR="00656B5B" w:rsidRPr="009B1004" w:rsidRDefault="00656B5B" w:rsidP="008444B0">
            <w:pPr>
              <w:rPr>
                <w:sz w:val="20"/>
                <w:szCs w:val="20"/>
              </w:rPr>
            </w:pPr>
            <w:r w:rsidRPr="009B1004">
              <w:rPr>
                <w:sz w:val="20"/>
                <w:szCs w:val="20"/>
              </w:rPr>
              <w:t>20.1%</w:t>
            </w:r>
          </w:p>
        </w:tc>
      </w:tr>
      <w:tr w:rsidR="00656B5B" w:rsidRPr="00201D64" w14:paraId="31372555" w14:textId="77777777" w:rsidTr="008444B0">
        <w:tc>
          <w:tcPr>
            <w:tcW w:w="1000" w:type="pct"/>
          </w:tcPr>
          <w:p w14:paraId="6AD52FC4" w14:textId="77777777" w:rsidR="00656B5B" w:rsidRPr="00201D64" w:rsidRDefault="00656B5B" w:rsidP="008444B0">
            <w:pPr>
              <w:rPr>
                <w:sz w:val="20"/>
                <w:szCs w:val="20"/>
              </w:rPr>
            </w:pPr>
            <w:r w:rsidRPr="00201D64">
              <w:rPr>
                <w:sz w:val="20"/>
                <w:szCs w:val="20"/>
              </w:rPr>
              <w:t>2014 Non-Greek Respondents</w:t>
            </w:r>
          </w:p>
        </w:tc>
        <w:tc>
          <w:tcPr>
            <w:tcW w:w="1000" w:type="pct"/>
          </w:tcPr>
          <w:p w14:paraId="0F966140" w14:textId="77777777" w:rsidR="00656B5B" w:rsidRPr="00201D64" w:rsidRDefault="00656B5B" w:rsidP="008444B0">
            <w:pPr>
              <w:rPr>
                <w:sz w:val="20"/>
                <w:szCs w:val="20"/>
              </w:rPr>
            </w:pPr>
            <w:r w:rsidRPr="00201D64">
              <w:rPr>
                <w:sz w:val="20"/>
                <w:szCs w:val="20"/>
              </w:rPr>
              <w:t>52.9%</w:t>
            </w:r>
          </w:p>
        </w:tc>
        <w:tc>
          <w:tcPr>
            <w:tcW w:w="1000" w:type="pct"/>
          </w:tcPr>
          <w:p w14:paraId="171D9A9C" w14:textId="77777777" w:rsidR="00656B5B" w:rsidRPr="00201D64" w:rsidRDefault="00656B5B" w:rsidP="008444B0">
            <w:pPr>
              <w:rPr>
                <w:sz w:val="20"/>
                <w:szCs w:val="20"/>
              </w:rPr>
            </w:pPr>
            <w:r w:rsidRPr="00201D64">
              <w:rPr>
                <w:sz w:val="20"/>
                <w:szCs w:val="20"/>
              </w:rPr>
              <w:t>34.9%</w:t>
            </w:r>
          </w:p>
        </w:tc>
        <w:tc>
          <w:tcPr>
            <w:tcW w:w="1000" w:type="pct"/>
          </w:tcPr>
          <w:p w14:paraId="65C11BA6" w14:textId="77777777" w:rsidR="00656B5B" w:rsidRPr="00201D64" w:rsidRDefault="00656B5B" w:rsidP="008444B0">
            <w:pPr>
              <w:rPr>
                <w:sz w:val="20"/>
                <w:szCs w:val="20"/>
              </w:rPr>
            </w:pPr>
            <w:r w:rsidRPr="00201D64">
              <w:rPr>
                <w:sz w:val="20"/>
                <w:szCs w:val="20"/>
              </w:rPr>
              <w:t>5.3%</w:t>
            </w:r>
          </w:p>
        </w:tc>
        <w:tc>
          <w:tcPr>
            <w:tcW w:w="1000" w:type="pct"/>
          </w:tcPr>
          <w:p w14:paraId="3C4EAC5C" w14:textId="77777777" w:rsidR="00656B5B" w:rsidRPr="00201D64" w:rsidRDefault="00656B5B" w:rsidP="008444B0">
            <w:pPr>
              <w:rPr>
                <w:sz w:val="20"/>
                <w:szCs w:val="20"/>
              </w:rPr>
            </w:pPr>
            <w:r w:rsidRPr="00201D64">
              <w:rPr>
                <w:sz w:val="20"/>
                <w:szCs w:val="20"/>
              </w:rPr>
              <w:t>6.9%</w:t>
            </w:r>
          </w:p>
        </w:tc>
      </w:tr>
    </w:tbl>
    <w:p w14:paraId="2B9FF48A" w14:textId="7FC86D84" w:rsidR="00656B5B" w:rsidRDefault="00656B5B" w:rsidP="00656B5B">
      <w:pPr>
        <w:jc w:val="right"/>
        <w:rPr>
          <w:sz w:val="20"/>
          <w:szCs w:val="20"/>
        </w:rPr>
      </w:pPr>
      <w:r>
        <w:rPr>
          <w:sz w:val="20"/>
          <w:szCs w:val="20"/>
        </w:rPr>
        <w:t>Figure 4. UNL First-Year College Alcohol Profile (Y1-CAP)</w:t>
      </w:r>
    </w:p>
    <w:p w14:paraId="471E602E" w14:textId="3422C5B6" w:rsidR="00843CE8" w:rsidRPr="00843CE8" w:rsidRDefault="00843CE8" w:rsidP="00843CE8">
      <w:pPr>
        <w:rPr>
          <w:sz w:val="18"/>
          <w:szCs w:val="18"/>
        </w:rPr>
      </w:pPr>
      <w:r w:rsidRPr="00843CE8">
        <w:rPr>
          <w:sz w:val="18"/>
          <w:szCs w:val="18"/>
        </w:rPr>
        <w:t>*The Nebraska Collegiate Consortium (NCC) is a coalition of 28 Nebraska post-secondary institutions working together to reduce high-risk drinking among college students.</w:t>
      </w:r>
      <w:r>
        <w:rPr>
          <w:sz w:val="18"/>
          <w:szCs w:val="18"/>
        </w:rPr>
        <w:t xml:space="preserve"> Eleven of the 28 participating institutions administered the Y1-CAP in prior to the 2016-2017 academic year. </w:t>
      </w:r>
    </w:p>
    <w:p w14:paraId="58E37941" w14:textId="77777777" w:rsidR="00843CE8" w:rsidRDefault="00843CE8" w:rsidP="00843CE8">
      <w:pPr>
        <w:jc w:val="center"/>
        <w:rPr>
          <w:sz w:val="20"/>
          <w:szCs w:val="20"/>
        </w:rPr>
        <w:sectPr w:rsidR="00843CE8" w:rsidSect="00656B5B">
          <w:pgSz w:w="15840" w:h="12240" w:orient="landscape"/>
          <w:pgMar w:top="1440" w:right="1440" w:bottom="1440" w:left="1440" w:header="720" w:footer="720" w:gutter="0"/>
          <w:cols w:space="720"/>
          <w:docGrid w:linePitch="360"/>
        </w:sectPr>
      </w:pPr>
    </w:p>
    <w:p w14:paraId="327510A0" w14:textId="77777777" w:rsidR="00AC08A4" w:rsidRPr="008444B0" w:rsidRDefault="00174654" w:rsidP="00656B5B">
      <w:pPr>
        <w:rPr>
          <w:sz w:val="24"/>
          <w:szCs w:val="24"/>
        </w:rPr>
      </w:pPr>
      <w:r w:rsidRPr="008444B0">
        <w:rPr>
          <w:sz w:val="24"/>
          <w:szCs w:val="24"/>
        </w:rPr>
        <w:lastRenderedPageBreak/>
        <w:t>EXTREME DRINKING</w:t>
      </w:r>
    </w:p>
    <w:p w14:paraId="500B9055" w14:textId="77777777" w:rsidR="00174654" w:rsidRPr="008444B0" w:rsidRDefault="00174654" w:rsidP="00656B5B">
      <w:pPr>
        <w:rPr>
          <w:sz w:val="24"/>
          <w:szCs w:val="24"/>
        </w:rPr>
      </w:pPr>
      <w:r w:rsidRPr="008444B0">
        <w:rPr>
          <w:sz w:val="24"/>
          <w:szCs w:val="24"/>
        </w:rPr>
        <w:t xml:space="preserve">Research suggests that drinking beyond the standard 5/4 measure is more common among young adults </w:t>
      </w:r>
      <w:r w:rsidR="008444B0">
        <w:rPr>
          <w:sz w:val="24"/>
          <w:szCs w:val="24"/>
        </w:rPr>
        <w:t xml:space="preserve">ages 19-24, </w:t>
      </w:r>
      <w:r w:rsidRPr="008444B0">
        <w:rPr>
          <w:sz w:val="24"/>
          <w:szCs w:val="24"/>
        </w:rPr>
        <w:t xml:space="preserve">including college students. In a 2010 study, Naimi and colleagues found that young adults, similar in age to the traditional undergraduate population, consumed alcohol at levels twice the gender-neutral 5 drink </w:t>
      </w:r>
      <w:r w:rsidR="00BD65CF" w:rsidRPr="008444B0">
        <w:rPr>
          <w:sz w:val="24"/>
          <w:szCs w:val="24"/>
        </w:rPr>
        <w:t>level</w:t>
      </w:r>
      <w:r w:rsidRPr="008444B0">
        <w:rPr>
          <w:sz w:val="24"/>
          <w:szCs w:val="24"/>
        </w:rPr>
        <w:t xml:space="preserve"> or on average 9.5 drinks per drinking occasion.</w:t>
      </w:r>
      <w:r w:rsidR="00BD65CF" w:rsidRPr="008444B0">
        <w:rPr>
          <w:sz w:val="24"/>
          <w:szCs w:val="24"/>
        </w:rPr>
        <w:t xml:space="preserve"> While national trends suggest that binge drinking among young adults has declined, many report an increase in what is often termed as </w:t>
      </w:r>
      <w:r w:rsidR="00BD65CF" w:rsidRPr="008444B0">
        <w:rPr>
          <w:i/>
          <w:sz w:val="24"/>
          <w:szCs w:val="24"/>
        </w:rPr>
        <w:t>extreme drinking</w:t>
      </w:r>
      <w:r w:rsidR="00BD65CF" w:rsidRPr="008444B0">
        <w:rPr>
          <w:sz w:val="24"/>
          <w:szCs w:val="24"/>
        </w:rPr>
        <w:t xml:space="preserve"> or </w:t>
      </w:r>
      <w:r w:rsidR="00BD65CF" w:rsidRPr="008444B0">
        <w:rPr>
          <w:i/>
          <w:sz w:val="24"/>
          <w:szCs w:val="24"/>
        </w:rPr>
        <w:t>high intensity drinking</w:t>
      </w:r>
      <w:r w:rsidR="00BD65CF" w:rsidRPr="008444B0">
        <w:rPr>
          <w:sz w:val="24"/>
          <w:szCs w:val="24"/>
        </w:rPr>
        <w:t xml:space="preserve"> which might help explain the increase in alcohol-related hospitalizations, emergency room visits and deaths</w:t>
      </w:r>
      <w:r w:rsidR="00EC5ECA" w:rsidRPr="008444B0">
        <w:rPr>
          <w:sz w:val="24"/>
          <w:szCs w:val="24"/>
        </w:rPr>
        <w:t xml:space="preserve"> (White, 2017</w:t>
      </w:r>
      <w:r w:rsidR="008444B0">
        <w:rPr>
          <w:sz w:val="24"/>
          <w:szCs w:val="24"/>
        </w:rPr>
        <w:t>)</w:t>
      </w:r>
      <w:r w:rsidR="00BD65CF" w:rsidRPr="008444B0">
        <w:rPr>
          <w:sz w:val="24"/>
          <w:szCs w:val="24"/>
        </w:rPr>
        <w:t>.</w:t>
      </w:r>
    </w:p>
    <w:p w14:paraId="66ACEE49" w14:textId="77777777" w:rsidR="00EC5ECA" w:rsidRPr="008444B0" w:rsidRDefault="00EC5ECA" w:rsidP="00656B5B">
      <w:pPr>
        <w:rPr>
          <w:sz w:val="24"/>
          <w:szCs w:val="24"/>
        </w:rPr>
      </w:pPr>
      <w:r w:rsidRPr="008444B0">
        <w:rPr>
          <w:sz w:val="24"/>
          <w:szCs w:val="24"/>
        </w:rPr>
        <w:t xml:space="preserve">Student admissions to Civil Protective Custody at The Bridge Behavioral Health increased by 41% from academic year 2013-2014 to 2015-2016. Civil Protective Custody is a medically supervised option for law enforcement </w:t>
      </w:r>
      <w:r w:rsidR="008444B0">
        <w:rPr>
          <w:sz w:val="24"/>
          <w:szCs w:val="24"/>
        </w:rPr>
        <w:t xml:space="preserve">officials </w:t>
      </w:r>
      <w:r w:rsidRPr="008444B0">
        <w:rPr>
          <w:sz w:val="24"/>
          <w:szCs w:val="24"/>
        </w:rPr>
        <w:t xml:space="preserve">concerned about someone who is a danger to themselves or others. Grounded in state law, clients admitted to the program may stay up to 24 hours or until released to a responsible friend or family member. </w:t>
      </w:r>
    </w:p>
    <w:p w14:paraId="133E4575" w14:textId="58A66AA8" w:rsidR="00EC5ECA" w:rsidRPr="008444B0" w:rsidRDefault="00795D1B" w:rsidP="00656B5B">
      <w:pPr>
        <w:rPr>
          <w:sz w:val="24"/>
          <w:szCs w:val="24"/>
        </w:rPr>
      </w:pPr>
      <w:r>
        <w:rPr>
          <w:noProof/>
          <w:sz w:val="24"/>
          <w:szCs w:val="24"/>
        </w:rPr>
        <mc:AlternateContent>
          <mc:Choice Requires="wps">
            <w:drawing>
              <wp:anchor distT="0" distB="0" distL="114300" distR="114300" simplePos="0" relativeHeight="251660288" behindDoc="0" locked="0" layoutInCell="1" allowOverlap="1" wp14:anchorId="0356A173" wp14:editId="06CF7865">
                <wp:simplePos x="0" y="0"/>
                <wp:positionH relativeFrom="column">
                  <wp:posOffset>2038350</wp:posOffset>
                </wp:positionH>
                <wp:positionV relativeFrom="paragraph">
                  <wp:posOffset>5076190</wp:posOffset>
                </wp:positionV>
                <wp:extent cx="3727450" cy="254000"/>
                <wp:effectExtent l="0" t="0" r="6350" b="0"/>
                <wp:wrapNone/>
                <wp:docPr id="7" name="Text Box 7"/>
                <wp:cNvGraphicFramePr/>
                <a:graphic xmlns:a="http://schemas.openxmlformats.org/drawingml/2006/main">
                  <a:graphicData uri="http://schemas.microsoft.com/office/word/2010/wordprocessingShape">
                    <wps:wsp>
                      <wps:cNvSpPr txBox="1"/>
                      <wps:spPr>
                        <a:xfrm>
                          <a:off x="0" y="0"/>
                          <a:ext cx="3727450" cy="254000"/>
                        </a:xfrm>
                        <a:prstGeom prst="rect">
                          <a:avLst/>
                        </a:prstGeom>
                        <a:solidFill>
                          <a:schemeClr val="lt1"/>
                        </a:solidFill>
                        <a:ln w="6350">
                          <a:noFill/>
                        </a:ln>
                      </wps:spPr>
                      <wps:txbx>
                        <w:txbxContent>
                          <w:p w14:paraId="0B6D07CD" w14:textId="77777777" w:rsidR="00795D1B" w:rsidRPr="003A5B4D" w:rsidRDefault="00795D1B" w:rsidP="00795D1B">
                            <w:pPr>
                              <w:jc w:val="right"/>
                              <w:rPr>
                                <w:sz w:val="18"/>
                                <w:szCs w:val="18"/>
                              </w:rPr>
                            </w:pPr>
                            <w:r w:rsidRPr="003A5B4D">
                              <w:rPr>
                                <w:sz w:val="18"/>
                                <w:szCs w:val="18"/>
                              </w:rPr>
                              <w:t>Figure 5. University of Nebraska-Lincoln Student Admissions to The Bridge</w:t>
                            </w:r>
                          </w:p>
                          <w:p w14:paraId="16BDE78D" w14:textId="77777777" w:rsidR="00795D1B" w:rsidRPr="003A5B4D" w:rsidRDefault="00795D1B" w:rsidP="00795D1B">
                            <w:pPr>
                              <w:jc w:val="right"/>
                              <w:rPr>
                                <w:sz w:val="18"/>
                                <w:szCs w:val="18"/>
                              </w:rPr>
                            </w:pPr>
                            <w:r w:rsidRPr="003A5B4D">
                              <w:rPr>
                                <w:sz w:val="18"/>
                                <w:szCs w:val="18"/>
                              </w:rPr>
                              <w:t>Figure 5. University of Nebraska-Lincoln Student Admissions to The Bridge</w:t>
                            </w:r>
                          </w:p>
                          <w:p w14:paraId="4A5A6423" w14:textId="0E19B623" w:rsidR="00795D1B" w:rsidRPr="003A5B4D" w:rsidRDefault="00795D1B" w:rsidP="00795D1B">
                            <w:pPr>
                              <w:jc w:val="right"/>
                              <w:rPr>
                                <w:sz w:val="18"/>
                                <w:szCs w:val="18"/>
                              </w:rPr>
                            </w:pPr>
                            <w:r w:rsidRPr="003A5B4D">
                              <w:rPr>
                                <w:sz w:val="18"/>
                                <w:szCs w:val="18"/>
                              </w:rPr>
                              <w:t>Bridge</w:t>
                            </w:r>
                          </w:p>
                          <w:p w14:paraId="2A5FC9B2" w14:textId="77777777" w:rsidR="00795D1B" w:rsidRPr="003A5B4D" w:rsidRDefault="00795D1B" w:rsidP="00795D1B">
                            <w:pPr>
                              <w:jc w:val="right"/>
                              <w:rPr>
                                <w:sz w:val="18"/>
                                <w:szCs w:val="18"/>
                              </w:rPr>
                            </w:pPr>
                            <w:r w:rsidRPr="003A5B4D">
                              <w:rPr>
                                <w:sz w:val="18"/>
                                <w:szCs w:val="18"/>
                              </w:rPr>
                              <w:t>Figure 5. University of Nebraska-Lincoln Student Admissions to The Bridge</w:t>
                            </w:r>
                          </w:p>
                          <w:p w14:paraId="6A9428D7" w14:textId="77777777" w:rsidR="00795D1B" w:rsidRDefault="00795D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56A173" id="_x0000_t202" coordsize="21600,21600" o:spt="202" path="m,l,21600r21600,l21600,xe">
                <v:stroke joinstyle="miter"/>
                <v:path gradientshapeok="t" o:connecttype="rect"/>
              </v:shapetype>
              <v:shape id="Text Box 7" o:spid="_x0000_s1027" type="#_x0000_t202" style="position:absolute;margin-left:160.5pt;margin-top:399.7pt;width:293.5pt;height:2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" fillcolor="white [3201]" stroked="f" strokeweight=".5pt">
                <v:textbox>
                  <w:txbxContent>
                    <w:p w14:paraId="0B6D07CD" w14:textId="77777777" w:rsidR="00795D1B" w:rsidRPr="003A5B4D" w:rsidRDefault="00795D1B" w:rsidP="00795D1B">
                      <w:pPr>
                        <w:jc w:val="right"/>
                        <w:rPr>
                          <w:sz w:val="18"/>
                          <w:szCs w:val="18"/>
                        </w:rPr>
                      </w:pPr>
                      <w:r w:rsidRPr="003A5B4D">
                        <w:rPr>
                          <w:sz w:val="18"/>
                          <w:szCs w:val="18"/>
                        </w:rPr>
                        <w:t>Figure 5. University of Nebraska-Lincoln Student Admissions to The Bridge</w:t>
                      </w:r>
                    </w:p>
                    <w:p w14:paraId="16BDE78D" w14:textId="77777777" w:rsidR="00795D1B" w:rsidRPr="003A5B4D" w:rsidRDefault="00795D1B" w:rsidP="00795D1B">
                      <w:pPr>
                        <w:jc w:val="right"/>
                        <w:rPr>
                          <w:sz w:val="18"/>
                          <w:szCs w:val="18"/>
                        </w:rPr>
                      </w:pPr>
                      <w:r w:rsidRPr="003A5B4D">
                        <w:rPr>
                          <w:sz w:val="18"/>
                          <w:szCs w:val="18"/>
                        </w:rPr>
                        <w:t>Figure 5. University of Nebraska-Lincoln Student Admissions to The Bridge</w:t>
                      </w:r>
                    </w:p>
                    <w:p w14:paraId="4A5A6423" w14:textId="0E19B623" w:rsidR="00795D1B" w:rsidRPr="003A5B4D" w:rsidRDefault="00795D1B" w:rsidP="00795D1B">
                      <w:pPr>
                        <w:jc w:val="right"/>
                        <w:rPr>
                          <w:sz w:val="18"/>
                          <w:szCs w:val="18"/>
                        </w:rPr>
                      </w:pPr>
                      <w:r w:rsidRPr="003A5B4D">
                        <w:rPr>
                          <w:sz w:val="18"/>
                          <w:szCs w:val="18"/>
                        </w:rPr>
                        <w:t>Bridge</w:t>
                      </w:r>
                    </w:p>
                    <w:p w14:paraId="2A5FC9B2" w14:textId="77777777" w:rsidR="00795D1B" w:rsidRPr="003A5B4D" w:rsidRDefault="00795D1B" w:rsidP="00795D1B">
                      <w:pPr>
                        <w:jc w:val="right"/>
                        <w:rPr>
                          <w:sz w:val="18"/>
                          <w:szCs w:val="18"/>
                        </w:rPr>
                      </w:pPr>
                      <w:r w:rsidRPr="003A5B4D">
                        <w:rPr>
                          <w:sz w:val="18"/>
                          <w:szCs w:val="18"/>
                        </w:rPr>
                        <w:t>Figure 5. University of Nebraska-Lincoln Student Admissions to The Bridge</w:t>
                      </w:r>
                    </w:p>
                    <w:p w14:paraId="6A9428D7" w14:textId="77777777" w:rsidR="00795D1B" w:rsidRDefault="00795D1B"/>
                  </w:txbxContent>
                </v:textbox>
              </v:shape>
            </w:pict>
          </mc:Fallback>
        </mc:AlternateContent>
      </w:r>
      <w:r w:rsidR="00EC5ECA" w:rsidRPr="008444B0">
        <w:rPr>
          <w:sz w:val="24"/>
          <w:szCs w:val="24"/>
        </w:rPr>
        <w:t xml:space="preserve">As </w:t>
      </w:r>
      <w:r w:rsidR="00F213DE" w:rsidRPr="008444B0">
        <w:rPr>
          <w:sz w:val="24"/>
          <w:szCs w:val="24"/>
        </w:rPr>
        <w:t>displayed in Figure 5., the typical student admission to civil protective custody is more likely to be a white male, 20 years of age with an average BAC of app</w:t>
      </w:r>
      <w:r w:rsidR="008444B0">
        <w:rPr>
          <w:sz w:val="24"/>
          <w:szCs w:val="24"/>
        </w:rPr>
        <w:t>roximately .20. Chances are</w:t>
      </w:r>
      <w:r w:rsidR="00F213DE" w:rsidRPr="008444B0">
        <w:rPr>
          <w:sz w:val="24"/>
          <w:szCs w:val="24"/>
        </w:rPr>
        <w:t xml:space="preserve"> he was drinking at home or at the home of a friend. It is important to note that 48% of the students admitted during the 2015-2016 academic year had a BAC at or above .20. Black</w:t>
      </w:r>
      <w:r w:rsidR="008444B0">
        <w:rPr>
          <w:sz w:val="24"/>
          <w:szCs w:val="24"/>
        </w:rPr>
        <w:t>outs are possible at BACs of .20</w:t>
      </w:r>
      <w:r w:rsidR="00F213DE" w:rsidRPr="008444B0">
        <w:rPr>
          <w:sz w:val="24"/>
          <w:szCs w:val="24"/>
        </w:rPr>
        <w:t xml:space="preserve"> and are linked</w:t>
      </w:r>
      <w:r w:rsidR="00157FC5" w:rsidRPr="008444B0">
        <w:rPr>
          <w:sz w:val="24"/>
          <w:szCs w:val="24"/>
        </w:rPr>
        <w:t xml:space="preserve"> to a variety of negative consequences including acute alcohol intoxication</w:t>
      </w:r>
      <w:r w:rsidR="0010258E">
        <w:rPr>
          <w:sz w:val="24"/>
          <w:szCs w:val="24"/>
        </w:rPr>
        <w:t>, sexual assault, and higher rates of violence</w:t>
      </w:r>
      <w:r w:rsidR="00157FC5" w:rsidRPr="008444B0">
        <w:rPr>
          <w:sz w:val="24"/>
          <w:szCs w:val="24"/>
        </w:rPr>
        <w:t xml:space="preserve">. Research suggests that young men, and male freshmen in particular, are at higher risk for experimentation (Gruenewald et al., 2002). </w:t>
      </w:r>
    </w:p>
    <w:tbl>
      <w:tblPr>
        <w:tblW w:w="4797" w:type="pct"/>
        <w:tblCellMar>
          <w:left w:w="0" w:type="dxa"/>
          <w:right w:w="0" w:type="dxa"/>
        </w:tblCellMar>
        <w:tblLook w:val="0420" w:firstRow="1" w:lastRow="0" w:firstColumn="0" w:lastColumn="0" w:noHBand="0" w:noVBand="1"/>
      </w:tblPr>
      <w:tblGrid>
        <w:gridCol w:w="2314"/>
        <w:gridCol w:w="2314"/>
        <w:gridCol w:w="2314"/>
        <w:gridCol w:w="2314"/>
      </w:tblGrid>
      <w:tr w:rsidR="00157FC5" w:rsidRPr="00795D1B" w14:paraId="3AF2F6D1" w14:textId="77777777" w:rsidTr="00795D1B">
        <w:trPr>
          <w:trHeight w:val="261"/>
        </w:trPr>
        <w:tc>
          <w:tcPr>
            <w:tcW w:w="1250" w:type="pct"/>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6FB524C" w14:textId="77777777" w:rsidR="00157FC5" w:rsidRPr="00795D1B" w:rsidRDefault="00157FC5" w:rsidP="00157FC5">
            <w:pPr>
              <w:spacing w:after="0"/>
              <w:rPr>
                <w:sz w:val="18"/>
                <w:szCs w:val="18"/>
              </w:rPr>
            </w:pPr>
          </w:p>
        </w:tc>
        <w:tc>
          <w:tcPr>
            <w:tcW w:w="1250" w:type="pct"/>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29121AD" w14:textId="77777777" w:rsidR="00157FC5" w:rsidRPr="00795D1B" w:rsidRDefault="00157FC5" w:rsidP="00157FC5">
            <w:pPr>
              <w:spacing w:after="0"/>
              <w:rPr>
                <w:sz w:val="18"/>
                <w:szCs w:val="18"/>
              </w:rPr>
            </w:pPr>
            <w:r w:rsidRPr="00795D1B">
              <w:rPr>
                <w:b/>
                <w:bCs/>
                <w:sz w:val="18"/>
                <w:szCs w:val="18"/>
              </w:rPr>
              <w:t>2013-2014</w:t>
            </w:r>
          </w:p>
        </w:tc>
        <w:tc>
          <w:tcPr>
            <w:tcW w:w="1250" w:type="pct"/>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4C5AB30" w14:textId="77777777" w:rsidR="00157FC5" w:rsidRPr="00795D1B" w:rsidRDefault="00157FC5" w:rsidP="00157FC5">
            <w:pPr>
              <w:spacing w:after="0"/>
              <w:rPr>
                <w:sz w:val="18"/>
                <w:szCs w:val="18"/>
              </w:rPr>
            </w:pPr>
            <w:r w:rsidRPr="00795D1B">
              <w:rPr>
                <w:b/>
                <w:bCs/>
                <w:sz w:val="18"/>
                <w:szCs w:val="18"/>
              </w:rPr>
              <w:t>2014-2015</w:t>
            </w:r>
          </w:p>
        </w:tc>
        <w:tc>
          <w:tcPr>
            <w:tcW w:w="1250" w:type="pct"/>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E4512E6" w14:textId="77777777" w:rsidR="00157FC5" w:rsidRPr="00795D1B" w:rsidRDefault="00157FC5" w:rsidP="00157FC5">
            <w:pPr>
              <w:spacing w:after="0"/>
              <w:rPr>
                <w:sz w:val="18"/>
                <w:szCs w:val="18"/>
              </w:rPr>
            </w:pPr>
            <w:r w:rsidRPr="00795D1B">
              <w:rPr>
                <w:b/>
                <w:bCs/>
                <w:sz w:val="18"/>
                <w:szCs w:val="18"/>
              </w:rPr>
              <w:t>2015-2016</w:t>
            </w:r>
          </w:p>
        </w:tc>
      </w:tr>
      <w:tr w:rsidR="00157FC5" w:rsidRPr="00795D1B" w14:paraId="15C9BCCA" w14:textId="77777777" w:rsidTr="00795D1B">
        <w:trPr>
          <w:trHeight w:val="261"/>
        </w:trPr>
        <w:tc>
          <w:tcPr>
            <w:tcW w:w="1250" w:type="pct"/>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5F3941C" w14:textId="77777777" w:rsidR="00157FC5" w:rsidRPr="00795D1B" w:rsidRDefault="00157FC5" w:rsidP="00157FC5">
            <w:pPr>
              <w:spacing w:after="0"/>
              <w:rPr>
                <w:sz w:val="18"/>
                <w:szCs w:val="18"/>
              </w:rPr>
            </w:pPr>
            <w:r w:rsidRPr="00795D1B">
              <w:rPr>
                <w:sz w:val="18"/>
                <w:szCs w:val="18"/>
              </w:rPr>
              <w:t>Total Admissions</w:t>
            </w:r>
          </w:p>
        </w:tc>
        <w:tc>
          <w:tcPr>
            <w:tcW w:w="1250" w:type="pct"/>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C85A407" w14:textId="77777777" w:rsidR="00157FC5" w:rsidRPr="00795D1B" w:rsidRDefault="00157FC5" w:rsidP="00157FC5">
            <w:pPr>
              <w:spacing w:after="0"/>
              <w:rPr>
                <w:sz w:val="18"/>
                <w:szCs w:val="18"/>
              </w:rPr>
            </w:pPr>
            <w:r w:rsidRPr="00795D1B">
              <w:rPr>
                <w:sz w:val="18"/>
                <w:szCs w:val="18"/>
              </w:rPr>
              <w:t>141</w:t>
            </w:r>
          </w:p>
        </w:tc>
        <w:tc>
          <w:tcPr>
            <w:tcW w:w="1250" w:type="pct"/>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DF280AC" w14:textId="77777777" w:rsidR="00157FC5" w:rsidRPr="00795D1B" w:rsidRDefault="00157FC5" w:rsidP="00157FC5">
            <w:pPr>
              <w:spacing w:after="0"/>
              <w:rPr>
                <w:sz w:val="18"/>
                <w:szCs w:val="18"/>
              </w:rPr>
            </w:pPr>
            <w:r w:rsidRPr="00795D1B">
              <w:rPr>
                <w:sz w:val="18"/>
                <w:szCs w:val="18"/>
              </w:rPr>
              <w:t>199</w:t>
            </w:r>
          </w:p>
        </w:tc>
        <w:tc>
          <w:tcPr>
            <w:tcW w:w="1250" w:type="pct"/>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B3F486A" w14:textId="77777777" w:rsidR="00157FC5" w:rsidRPr="00795D1B" w:rsidRDefault="00157FC5" w:rsidP="00157FC5">
            <w:pPr>
              <w:spacing w:after="0"/>
              <w:rPr>
                <w:sz w:val="18"/>
                <w:szCs w:val="18"/>
              </w:rPr>
            </w:pPr>
            <w:r w:rsidRPr="00795D1B">
              <w:rPr>
                <w:sz w:val="18"/>
                <w:szCs w:val="18"/>
              </w:rPr>
              <w:t>238</w:t>
            </w:r>
          </w:p>
        </w:tc>
      </w:tr>
      <w:tr w:rsidR="00157FC5" w:rsidRPr="00795D1B" w14:paraId="2D6BC60D" w14:textId="77777777" w:rsidTr="00795D1B">
        <w:trPr>
          <w:trHeight w:val="261"/>
        </w:trPr>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75C4049" w14:textId="77777777" w:rsidR="00157FC5" w:rsidRPr="00795D1B" w:rsidRDefault="00157FC5" w:rsidP="00157FC5">
            <w:pPr>
              <w:spacing w:after="0" w:line="240" w:lineRule="auto"/>
              <w:rPr>
                <w:sz w:val="18"/>
                <w:szCs w:val="18"/>
              </w:rPr>
            </w:pPr>
            <w:r w:rsidRPr="00795D1B">
              <w:rPr>
                <w:sz w:val="18"/>
                <w:szCs w:val="18"/>
              </w:rPr>
              <w:t>Males</w:t>
            </w:r>
          </w:p>
        </w:tc>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91B257C" w14:textId="77777777" w:rsidR="00157FC5" w:rsidRPr="00795D1B" w:rsidRDefault="00157FC5" w:rsidP="00157FC5">
            <w:pPr>
              <w:spacing w:after="0" w:line="240" w:lineRule="auto"/>
              <w:rPr>
                <w:sz w:val="18"/>
                <w:szCs w:val="18"/>
              </w:rPr>
            </w:pPr>
            <w:r w:rsidRPr="00795D1B">
              <w:rPr>
                <w:sz w:val="18"/>
                <w:szCs w:val="18"/>
              </w:rPr>
              <w:t>Male – 111</w:t>
            </w:r>
          </w:p>
          <w:p w14:paraId="1179CE5B" w14:textId="77777777" w:rsidR="00157FC5" w:rsidRPr="00795D1B" w:rsidRDefault="00157FC5" w:rsidP="00157FC5">
            <w:pPr>
              <w:spacing w:after="0" w:line="240" w:lineRule="auto"/>
              <w:rPr>
                <w:sz w:val="18"/>
                <w:szCs w:val="18"/>
              </w:rPr>
            </w:pPr>
            <w:r w:rsidRPr="00795D1B">
              <w:rPr>
                <w:sz w:val="18"/>
                <w:szCs w:val="18"/>
              </w:rPr>
              <w:t>Female – 30</w:t>
            </w:r>
          </w:p>
        </w:tc>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8EE3767" w14:textId="77777777" w:rsidR="00157FC5" w:rsidRPr="00795D1B" w:rsidRDefault="00157FC5" w:rsidP="00157FC5">
            <w:pPr>
              <w:spacing w:after="0" w:line="240" w:lineRule="auto"/>
              <w:rPr>
                <w:sz w:val="18"/>
                <w:szCs w:val="18"/>
              </w:rPr>
            </w:pPr>
            <w:r w:rsidRPr="00795D1B">
              <w:rPr>
                <w:sz w:val="18"/>
                <w:szCs w:val="18"/>
              </w:rPr>
              <w:t>Males – 148</w:t>
            </w:r>
          </w:p>
          <w:p w14:paraId="35D022B1" w14:textId="77777777" w:rsidR="00157FC5" w:rsidRPr="00795D1B" w:rsidRDefault="00157FC5" w:rsidP="00157FC5">
            <w:pPr>
              <w:spacing w:after="0" w:line="240" w:lineRule="auto"/>
              <w:rPr>
                <w:sz w:val="18"/>
                <w:szCs w:val="18"/>
              </w:rPr>
            </w:pPr>
            <w:r w:rsidRPr="00795D1B">
              <w:rPr>
                <w:sz w:val="18"/>
                <w:szCs w:val="18"/>
              </w:rPr>
              <w:t>Female – 51</w:t>
            </w:r>
          </w:p>
        </w:tc>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CCFA397" w14:textId="77777777" w:rsidR="00157FC5" w:rsidRPr="00795D1B" w:rsidRDefault="00157FC5" w:rsidP="00157FC5">
            <w:pPr>
              <w:spacing w:after="0" w:line="240" w:lineRule="auto"/>
              <w:rPr>
                <w:sz w:val="18"/>
                <w:szCs w:val="18"/>
              </w:rPr>
            </w:pPr>
            <w:r w:rsidRPr="00795D1B">
              <w:rPr>
                <w:sz w:val="18"/>
                <w:szCs w:val="18"/>
              </w:rPr>
              <w:t>Male – 162</w:t>
            </w:r>
          </w:p>
          <w:p w14:paraId="14C38FAE" w14:textId="77777777" w:rsidR="00157FC5" w:rsidRPr="00795D1B" w:rsidRDefault="00157FC5" w:rsidP="00157FC5">
            <w:pPr>
              <w:spacing w:after="0" w:line="240" w:lineRule="auto"/>
              <w:rPr>
                <w:sz w:val="18"/>
                <w:szCs w:val="18"/>
              </w:rPr>
            </w:pPr>
            <w:r w:rsidRPr="00795D1B">
              <w:rPr>
                <w:sz w:val="18"/>
                <w:szCs w:val="18"/>
              </w:rPr>
              <w:t>Female – 76</w:t>
            </w:r>
          </w:p>
        </w:tc>
      </w:tr>
      <w:tr w:rsidR="00157FC5" w:rsidRPr="00795D1B" w14:paraId="758728C0" w14:textId="77777777" w:rsidTr="00795D1B">
        <w:trPr>
          <w:trHeight w:val="18"/>
        </w:trPr>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A99B146" w14:textId="77777777" w:rsidR="00157FC5" w:rsidRPr="00795D1B" w:rsidRDefault="00157FC5" w:rsidP="00157FC5">
            <w:pPr>
              <w:spacing w:after="0"/>
              <w:rPr>
                <w:sz w:val="18"/>
                <w:szCs w:val="18"/>
              </w:rPr>
            </w:pPr>
            <w:r w:rsidRPr="00795D1B">
              <w:rPr>
                <w:sz w:val="18"/>
                <w:szCs w:val="18"/>
              </w:rPr>
              <w:t>Race/Ethnicity</w:t>
            </w:r>
          </w:p>
        </w:tc>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5328806" w14:textId="77777777" w:rsidR="00157FC5" w:rsidRPr="00795D1B" w:rsidRDefault="00157FC5" w:rsidP="00157FC5">
            <w:pPr>
              <w:spacing w:after="0"/>
              <w:rPr>
                <w:sz w:val="18"/>
                <w:szCs w:val="18"/>
              </w:rPr>
            </w:pPr>
            <w:r w:rsidRPr="00795D1B">
              <w:rPr>
                <w:sz w:val="18"/>
                <w:szCs w:val="18"/>
              </w:rPr>
              <w:t>White – 111</w:t>
            </w:r>
          </w:p>
          <w:p w14:paraId="4E990D7E" w14:textId="77777777" w:rsidR="00157FC5" w:rsidRPr="00795D1B" w:rsidRDefault="00157FC5" w:rsidP="00157FC5">
            <w:pPr>
              <w:spacing w:after="0"/>
              <w:rPr>
                <w:sz w:val="18"/>
                <w:szCs w:val="18"/>
              </w:rPr>
            </w:pPr>
            <w:r w:rsidRPr="00795D1B">
              <w:rPr>
                <w:sz w:val="18"/>
                <w:szCs w:val="18"/>
              </w:rPr>
              <w:t>Non-White – 30</w:t>
            </w:r>
          </w:p>
        </w:tc>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0A78745" w14:textId="77777777" w:rsidR="00157FC5" w:rsidRPr="00795D1B" w:rsidRDefault="00157FC5" w:rsidP="00157FC5">
            <w:pPr>
              <w:spacing w:after="0"/>
              <w:rPr>
                <w:sz w:val="18"/>
                <w:szCs w:val="18"/>
              </w:rPr>
            </w:pPr>
            <w:r w:rsidRPr="00795D1B">
              <w:rPr>
                <w:sz w:val="18"/>
                <w:szCs w:val="18"/>
              </w:rPr>
              <w:t>White – 179</w:t>
            </w:r>
          </w:p>
          <w:p w14:paraId="15FD3C82" w14:textId="77777777" w:rsidR="00157FC5" w:rsidRPr="00795D1B" w:rsidRDefault="00157FC5" w:rsidP="00157FC5">
            <w:pPr>
              <w:spacing w:after="0"/>
              <w:rPr>
                <w:sz w:val="18"/>
                <w:szCs w:val="18"/>
              </w:rPr>
            </w:pPr>
            <w:r w:rsidRPr="00795D1B">
              <w:rPr>
                <w:sz w:val="18"/>
                <w:szCs w:val="18"/>
              </w:rPr>
              <w:t>Non-White – 20</w:t>
            </w:r>
          </w:p>
        </w:tc>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F0703EB" w14:textId="77777777" w:rsidR="00157FC5" w:rsidRPr="00795D1B" w:rsidRDefault="00157FC5" w:rsidP="00157FC5">
            <w:pPr>
              <w:spacing w:after="0"/>
              <w:rPr>
                <w:sz w:val="18"/>
                <w:szCs w:val="18"/>
              </w:rPr>
            </w:pPr>
            <w:r w:rsidRPr="00795D1B">
              <w:rPr>
                <w:sz w:val="18"/>
                <w:szCs w:val="18"/>
              </w:rPr>
              <w:t>White – 214</w:t>
            </w:r>
          </w:p>
          <w:p w14:paraId="3B2E2D28" w14:textId="77777777" w:rsidR="00157FC5" w:rsidRPr="00795D1B" w:rsidRDefault="00157FC5" w:rsidP="00157FC5">
            <w:pPr>
              <w:spacing w:after="0"/>
              <w:rPr>
                <w:sz w:val="18"/>
                <w:szCs w:val="18"/>
              </w:rPr>
            </w:pPr>
            <w:r w:rsidRPr="00795D1B">
              <w:rPr>
                <w:sz w:val="18"/>
                <w:szCs w:val="18"/>
              </w:rPr>
              <w:t xml:space="preserve">Non-White – 24 </w:t>
            </w:r>
          </w:p>
        </w:tc>
      </w:tr>
      <w:tr w:rsidR="00157FC5" w:rsidRPr="00795D1B" w14:paraId="2BFA9812" w14:textId="77777777" w:rsidTr="00795D1B">
        <w:trPr>
          <w:trHeight w:val="18"/>
        </w:trPr>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D334A0E" w14:textId="77777777" w:rsidR="00157FC5" w:rsidRPr="00795D1B" w:rsidRDefault="00157FC5" w:rsidP="00157FC5">
            <w:pPr>
              <w:spacing w:after="0"/>
              <w:rPr>
                <w:sz w:val="18"/>
                <w:szCs w:val="18"/>
              </w:rPr>
            </w:pPr>
            <w:r w:rsidRPr="00795D1B">
              <w:rPr>
                <w:sz w:val="18"/>
                <w:szCs w:val="18"/>
              </w:rPr>
              <w:t>Average BAC</w:t>
            </w:r>
          </w:p>
        </w:tc>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3ACE21E" w14:textId="77777777" w:rsidR="00157FC5" w:rsidRPr="00795D1B" w:rsidRDefault="00157FC5" w:rsidP="00157FC5">
            <w:pPr>
              <w:spacing w:after="0"/>
              <w:rPr>
                <w:sz w:val="18"/>
                <w:szCs w:val="18"/>
              </w:rPr>
            </w:pPr>
            <w:r w:rsidRPr="00795D1B">
              <w:rPr>
                <w:sz w:val="18"/>
                <w:szCs w:val="18"/>
              </w:rPr>
              <w:t>.192</w:t>
            </w:r>
          </w:p>
          <w:p w14:paraId="6A6B4302" w14:textId="77777777" w:rsidR="00157FC5" w:rsidRPr="00795D1B" w:rsidRDefault="00157FC5" w:rsidP="00157FC5">
            <w:pPr>
              <w:spacing w:after="0"/>
              <w:rPr>
                <w:sz w:val="18"/>
                <w:szCs w:val="18"/>
              </w:rPr>
            </w:pPr>
            <w:r w:rsidRPr="00795D1B">
              <w:rPr>
                <w:sz w:val="18"/>
                <w:szCs w:val="18"/>
              </w:rPr>
              <w:t>Above .20 – 80 (.237)</w:t>
            </w:r>
          </w:p>
          <w:p w14:paraId="2FF680B7" w14:textId="77777777" w:rsidR="00157FC5" w:rsidRPr="00795D1B" w:rsidRDefault="00157FC5" w:rsidP="00157FC5">
            <w:pPr>
              <w:spacing w:after="0"/>
              <w:rPr>
                <w:sz w:val="18"/>
                <w:szCs w:val="18"/>
              </w:rPr>
            </w:pPr>
            <w:r w:rsidRPr="00795D1B">
              <w:rPr>
                <w:sz w:val="18"/>
                <w:szCs w:val="18"/>
              </w:rPr>
              <w:t>Above .30 – 5 (.339)</w:t>
            </w:r>
          </w:p>
        </w:tc>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EB4AFEB" w14:textId="77777777" w:rsidR="00157FC5" w:rsidRPr="00795D1B" w:rsidRDefault="00157FC5" w:rsidP="00157FC5">
            <w:pPr>
              <w:spacing w:after="0"/>
              <w:rPr>
                <w:sz w:val="18"/>
                <w:szCs w:val="18"/>
              </w:rPr>
            </w:pPr>
            <w:r w:rsidRPr="00795D1B">
              <w:rPr>
                <w:sz w:val="18"/>
                <w:szCs w:val="18"/>
              </w:rPr>
              <w:t>.20</w:t>
            </w:r>
          </w:p>
          <w:p w14:paraId="14CD9022" w14:textId="77777777" w:rsidR="00157FC5" w:rsidRPr="00795D1B" w:rsidRDefault="00157FC5" w:rsidP="00157FC5">
            <w:pPr>
              <w:spacing w:after="0"/>
              <w:rPr>
                <w:sz w:val="18"/>
                <w:szCs w:val="18"/>
              </w:rPr>
            </w:pPr>
            <w:r w:rsidRPr="00795D1B">
              <w:rPr>
                <w:sz w:val="18"/>
                <w:szCs w:val="18"/>
              </w:rPr>
              <w:t>Above .20 – 93 (.249)</w:t>
            </w:r>
          </w:p>
          <w:p w14:paraId="2D1F1FF3" w14:textId="77777777" w:rsidR="00157FC5" w:rsidRPr="00795D1B" w:rsidRDefault="00157FC5" w:rsidP="00157FC5">
            <w:pPr>
              <w:spacing w:after="0"/>
              <w:rPr>
                <w:sz w:val="18"/>
                <w:szCs w:val="18"/>
              </w:rPr>
            </w:pPr>
            <w:r w:rsidRPr="00795D1B">
              <w:rPr>
                <w:sz w:val="18"/>
                <w:szCs w:val="18"/>
              </w:rPr>
              <w:t xml:space="preserve">Above .30 – 11 (.321) </w:t>
            </w:r>
          </w:p>
        </w:tc>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E197E94" w14:textId="77777777" w:rsidR="00157FC5" w:rsidRPr="00795D1B" w:rsidRDefault="00157FC5" w:rsidP="00157FC5">
            <w:pPr>
              <w:spacing w:after="0"/>
              <w:rPr>
                <w:sz w:val="18"/>
                <w:szCs w:val="18"/>
              </w:rPr>
            </w:pPr>
            <w:r w:rsidRPr="00795D1B">
              <w:rPr>
                <w:sz w:val="18"/>
                <w:szCs w:val="18"/>
              </w:rPr>
              <w:t>.20</w:t>
            </w:r>
          </w:p>
          <w:p w14:paraId="5319AA50" w14:textId="77777777" w:rsidR="00157FC5" w:rsidRPr="00795D1B" w:rsidRDefault="00157FC5" w:rsidP="00157FC5">
            <w:pPr>
              <w:spacing w:after="0"/>
              <w:rPr>
                <w:sz w:val="18"/>
                <w:szCs w:val="18"/>
              </w:rPr>
            </w:pPr>
            <w:r w:rsidRPr="00795D1B">
              <w:rPr>
                <w:sz w:val="18"/>
                <w:szCs w:val="18"/>
              </w:rPr>
              <w:t>Above .20 – 116 (.235)</w:t>
            </w:r>
          </w:p>
          <w:p w14:paraId="1AA7A1E5" w14:textId="77777777" w:rsidR="00157FC5" w:rsidRPr="00795D1B" w:rsidRDefault="00157FC5" w:rsidP="00157FC5">
            <w:pPr>
              <w:spacing w:after="0"/>
              <w:rPr>
                <w:sz w:val="18"/>
                <w:szCs w:val="18"/>
              </w:rPr>
            </w:pPr>
            <w:r w:rsidRPr="00795D1B">
              <w:rPr>
                <w:sz w:val="18"/>
                <w:szCs w:val="18"/>
              </w:rPr>
              <w:t>Above .30 – 15 (.322)</w:t>
            </w:r>
          </w:p>
        </w:tc>
      </w:tr>
      <w:tr w:rsidR="00157FC5" w:rsidRPr="00795D1B" w14:paraId="2829B957" w14:textId="77777777" w:rsidTr="00795D1B">
        <w:trPr>
          <w:trHeight w:val="261"/>
        </w:trPr>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7A8C820" w14:textId="77777777" w:rsidR="00157FC5" w:rsidRPr="00795D1B" w:rsidRDefault="00157FC5" w:rsidP="00157FC5">
            <w:pPr>
              <w:spacing w:after="0"/>
              <w:rPr>
                <w:sz w:val="18"/>
                <w:szCs w:val="18"/>
              </w:rPr>
            </w:pPr>
            <w:r w:rsidRPr="00795D1B">
              <w:rPr>
                <w:sz w:val="18"/>
                <w:szCs w:val="18"/>
              </w:rPr>
              <w:t>Average Age</w:t>
            </w:r>
          </w:p>
        </w:tc>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1124872" w14:textId="77777777" w:rsidR="00157FC5" w:rsidRPr="00795D1B" w:rsidRDefault="00157FC5" w:rsidP="00157FC5">
            <w:pPr>
              <w:spacing w:after="0"/>
              <w:rPr>
                <w:sz w:val="18"/>
                <w:szCs w:val="18"/>
              </w:rPr>
            </w:pPr>
            <w:r w:rsidRPr="00795D1B">
              <w:rPr>
                <w:sz w:val="18"/>
                <w:szCs w:val="18"/>
              </w:rPr>
              <w:t>21</w:t>
            </w:r>
          </w:p>
        </w:tc>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5720892" w14:textId="77777777" w:rsidR="00157FC5" w:rsidRPr="00795D1B" w:rsidRDefault="00157FC5" w:rsidP="00157FC5">
            <w:pPr>
              <w:spacing w:after="0"/>
              <w:rPr>
                <w:sz w:val="18"/>
                <w:szCs w:val="18"/>
              </w:rPr>
            </w:pPr>
            <w:r w:rsidRPr="00795D1B">
              <w:rPr>
                <w:sz w:val="18"/>
                <w:szCs w:val="18"/>
              </w:rPr>
              <w:t>21</w:t>
            </w:r>
          </w:p>
        </w:tc>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2BF83A3" w14:textId="77777777" w:rsidR="00157FC5" w:rsidRPr="00795D1B" w:rsidRDefault="00157FC5" w:rsidP="00157FC5">
            <w:pPr>
              <w:spacing w:after="0"/>
              <w:rPr>
                <w:sz w:val="18"/>
                <w:szCs w:val="18"/>
              </w:rPr>
            </w:pPr>
            <w:r w:rsidRPr="00795D1B">
              <w:rPr>
                <w:sz w:val="18"/>
                <w:szCs w:val="18"/>
              </w:rPr>
              <w:t>20.6</w:t>
            </w:r>
          </w:p>
        </w:tc>
      </w:tr>
      <w:tr w:rsidR="00157FC5" w:rsidRPr="00795D1B" w14:paraId="04C5EFEB" w14:textId="77777777" w:rsidTr="00795D1B">
        <w:trPr>
          <w:trHeight w:val="392"/>
        </w:trPr>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3B81020" w14:textId="77777777" w:rsidR="00157FC5" w:rsidRPr="00795D1B" w:rsidRDefault="00157FC5" w:rsidP="00157FC5">
            <w:pPr>
              <w:spacing w:after="0"/>
              <w:rPr>
                <w:sz w:val="18"/>
                <w:szCs w:val="18"/>
              </w:rPr>
            </w:pPr>
            <w:r w:rsidRPr="00795D1B">
              <w:rPr>
                <w:sz w:val="18"/>
                <w:szCs w:val="18"/>
              </w:rPr>
              <w:t xml:space="preserve">Social Host </w:t>
            </w:r>
          </w:p>
        </w:tc>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74F8D71" w14:textId="77777777" w:rsidR="00157FC5" w:rsidRPr="00795D1B" w:rsidRDefault="00157FC5" w:rsidP="00157FC5">
            <w:pPr>
              <w:spacing w:after="0"/>
              <w:rPr>
                <w:sz w:val="18"/>
                <w:szCs w:val="18"/>
              </w:rPr>
            </w:pPr>
            <w:r w:rsidRPr="00795D1B">
              <w:rPr>
                <w:sz w:val="18"/>
                <w:szCs w:val="18"/>
              </w:rPr>
              <w:t>Admissions – 96</w:t>
            </w:r>
          </w:p>
          <w:p w14:paraId="31F1FE85" w14:textId="77777777" w:rsidR="00157FC5" w:rsidRPr="00795D1B" w:rsidRDefault="00157FC5" w:rsidP="00157FC5">
            <w:pPr>
              <w:spacing w:after="0"/>
              <w:rPr>
                <w:sz w:val="18"/>
                <w:szCs w:val="18"/>
              </w:rPr>
            </w:pPr>
            <w:r w:rsidRPr="00795D1B">
              <w:rPr>
                <w:sz w:val="18"/>
                <w:szCs w:val="18"/>
              </w:rPr>
              <w:t xml:space="preserve">Average BAC –  .194 </w:t>
            </w:r>
          </w:p>
          <w:p w14:paraId="2BBDFF52" w14:textId="77777777" w:rsidR="00157FC5" w:rsidRPr="00795D1B" w:rsidRDefault="00157FC5" w:rsidP="00157FC5">
            <w:pPr>
              <w:spacing w:after="0"/>
              <w:rPr>
                <w:sz w:val="18"/>
                <w:szCs w:val="18"/>
              </w:rPr>
            </w:pPr>
            <w:r w:rsidRPr="00795D1B">
              <w:rPr>
                <w:sz w:val="18"/>
                <w:szCs w:val="18"/>
              </w:rPr>
              <w:t xml:space="preserve">Average Age – 20 </w:t>
            </w:r>
          </w:p>
        </w:tc>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2F8BFD0" w14:textId="77777777" w:rsidR="00157FC5" w:rsidRPr="00795D1B" w:rsidRDefault="00157FC5" w:rsidP="00157FC5">
            <w:pPr>
              <w:spacing w:after="0"/>
              <w:rPr>
                <w:sz w:val="18"/>
                <w:szCs w:val="18"/>
              </w:rPr>
            </w:pPr>
            <w:r w:rsidRPr="00795D1B">
              <w:rPr>
                <w:sz w:val="18"/>
                <w:szCs w:val="18"/>
              </w:rPr>
              <w:t>Admissions – 142</w:t>
            </w:r>
          </w:p>
          <w:p w14:paraId="0BE34BEF" w14:textId="77777777" w:rsidR="00157FC5" w:rsidRPr="00795D1B" w:rsidRDefault="00157FC5" w:rsidP="00157FC5">
            <w:pPr>
              <w:spacing w:after="0"/>
              <w:rPr>
                <w:sz w:val="18"/>
                <w:szCs w:val="18"/>
              </w:rPr>
            </w:pPr>
            <w:r w:rsidRPr="00795D1B">
              <w:rPr>
                <w:sz w:val="18"/>
                <w:szCs w:val="18"/>
              </w:rPr>
              <w:t>Average BAC –  .195</w:t>
            </w:r>
          </w:p>
          <w:p w14:paraId="29E4BA3C" w14:textId="77777777" w:rsidR="00157FC5" w:rsidRPr="00795D1B" w:rsidRDefault="00157FC5" w:rsidP="00157FC5">
            <w:pPr>
              <w:spacing w:after="0"/>
              <w:rPr>
                <w:sz w:val="18"/>
                <w:szCs w:val="18"/>
              </w:rPr>
            </w:pPr>
            <w:r w:rsidRPr="00795D1B">
              <w:rPr>
                <w:sz w:val="18"/>
                <w:szCs w:val="18"/>
              </w:rPr>
              <w:t xml:space="preserve">Average Age – 20.2 </w:t>
            </w:r>
          </w:p>
        </w:tc>
        <w:tc>
          <w:tcPr>
            <w:tcW w:w="1250" w:type="pct"/>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6C9624B" w14:textId="77777777" w:rsidR="00157FC5" w:rsidRPr="00795D1B" w:rsidRDefault="00157FC5" w:rsidP="00157FC5">
            <w:pPr>
              <w:spacing w:after="0"/>
              <w:rPr>
                <w:sz w:val="18"/>
                <w:szCs w:val="18"/>
              </w:rPr>
            </w:pPr>
            <w:r w:rsidRPr="00795D1B">
              <w:rPr>
                <w:sz w:val="18"/>
                <w:szCs w:val="18"/>
              </w:rPr>
              <w:t>Admissions – 181</w:t>
            </w:r>
          </w:p>
          <w:p w14:paraId="36CCB090" w14:textId="77777777" w:rsidR="00157FC5" w:rsidRPr="00795D1B" w:rsidRDefault="00157FC5" w:rsidP="00157FC5">
            <w:pPr>
              <w:spacing w:after="0"/>
              <w:rPr>
                <w:sz w:val="18"/>
                <w:szCs w:val="18"/>
              </w:rPr>
            </w:pPr>
            <w:r w:rsidRPr="00795D1B">
              <w:rPr>
                <w:sz w:val="18"/>
                <w:szCs w:val="18"/>
              </w:rPr>
              <w:t>Average BAC – .197</w:t>
            </w:r>
          </w:p>
          <w:p w14:paraId="659E4B91" w14:textId="77777777" w:rsidR="00157FC5" w:rsidRPr="00795D1B" w:rsidRDefault="00157FC5" w:rsidP="00157FC5">
            <w:pPr>
              <w:spacing w:after="0"/>
              <w:rPr>
                <w:sz w:val="18"/>
                <w:szCs w:val="18"/>
              </w:rPr>
            </w:pPr>
            <w:r w:rsidRPr="00795D1B">
              <w:rPr>
                <w:sz w:val="18"/>
                <w:szCs w:val="18"/>
              </w:rPr>
              <w:t>Average Age – 20.1</w:t>
            </w:r>
          </w:p>
        </w:tc>
      </w:tr>
      <w:tr w:rsidR="00157FC5" w:rsidRPr="00795D1B" w14:paraId="69AEC29C" w14:textId="77777777" w:rsidTr="00795D1B">
        <w:trPr>
          <w:trHeight w:val="601"/>
        </w:trPr>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891AF9C" w14:textId="77777777" w:rsidR="00157FC5" w:rsidRPr="00795D1B" w:rsidRDefault="00157FC5" w:rsidP="00157FC5">
            <w:pPr>
              <w:spacing w:after="0"/>
              <w:rPr>
                <w:sz w:val="18"/>
                <w:szCs w:val="18"/>
              </w:rPr>
            </w:pPr>
            <w:r w:rsidRPr="00795D1B">
              <w:rPr>
                <w:sz w:val="18"/>
                <w:szCs w:val="18"/>
              </w:rPr>
              <w:t>Commercial Host</w:t>
            </w:r>
          </w:p>
        </w:tc>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80AD813" w14:textId="77777777" w:rsidR="00157FC5" w:rsidRPr="00795D1B" w:rsidRDefault="00157FC5" w:rsidP="00157FC5">
            <w:pPr>
              <w:spacing w:after="0"/>
              <w:rPr>
                <w:sz w:val="18"/>
                <w:szCs w:val="18"/>
              </w:rPr>
            </w:pPr>
            <w:r w:rsidRPr="00795D1B">
              <w:rPr>
                <w:sz w:val="18"/>
                <w:szCs w:val="18"/>
              </w:rPr>
              <w:t>Admissions – 45</w:t>
            </w:r>
          </w:p>
          <w:p w14:paraId="63103A06" w14:textId="77777777" w:rsidR="00157FC5" w:rsidRPr="00795D1B" w:rsidRDefault="00157FC5" w:rsidP="00157FC5">
            <w:pPr>
              <w:spacing w:after="0"/>
              <w:rPr>
                <w:sz w:val="18"/>
                <w:szCs w:val="18"/>
              </w:rPr>
            </w:pPr>
            <w:r w:rsidRPr="00795D1B">
              <w:rPr>
                <w:sz w:val="18"/>
                <w:szCs w:val="18"/>
              </w:rPr>
              <w:t xml:space="preserve">Average BAC – .191 </w:t>
            </w:r>
          </w:p>
          <w:p w14:paraId="008EF251" w14:textId="77777777" w:rsidR="00157FC5" w:rsidRPr="00795D1B" w:rsidRDefault="00157FC5" w:rsidP="00157FC5">
            <w:pPr>
              <w:spacing w:after="0"/>
              <w:rPr>
                <w:sz w:val="18"/>
                <w:szCs w:val="18"/>
              </w:rPr>
            </w:pPr>
            <w:r w:rsidRPr="00795D1B">
              <w:rPr>
                <w:sz w:val="18"/>
                <w:szCs w:val="18"/>
              </w:rPr>
              <w:t xml:space="preserve">Average Age – 22  </w:t>
            </w:r>
          </w:p>
        </w:tc>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6F2C3C1" w14:textId="77777777" w:rsidR="00157FC5" w:rsidRPr="00795D1B" w:rsidRDefault="00157FC5" w:rsidP="00157FC5">
            <w:pPr>
              <w:spacing w:after="0"/>
              <w:rPr>
                <w:sz w:val="18"/>
                <w:szCs w:val="18"/>
              </w:rPr>
            </w:pPr>
            <w:r w:rsidRPr="00795D1B">
              <w:rPr>
                <w:sz w:val="18"/>
                <w:szCs w:val="18"/>
              </w:rPr>
              <w:t>Admissions – 67</w:t>
            </w:r>
          </w:p>
          <w:p w14:paraId="2A4C6AAE" w14:textId="77777777" w:rsidR="00157FC5" w:rsidRPr="00795D1B" w:rsidRDefault="00157FC5" w:rsidP="00157FC5">
            <w:pPr>
              <w:spacing w:after="0"/>
              <w:rPr>
                <w:sz w:val="18"/>
                <w:szCs w:val="18"/>
              </w:rPr>
            </w:pPr>
            <w:r w:rsidRPr="00795D1B">
              <w:rPr>
                <w:sz w:val="18"/>
                <w:szCs w:val="18"/>
              </w:rPr>
              <w:t>Average BAC – .214</w:t>
            </w:r>
          </w:p>
          <w:p w14:paraId="50A55097" w14:textId="77777777" w:rsidR="00157FC5" w:rsidRPr="00795D1B" w:rsidRDefault="00157FC5" w:rsidP="00157FC5">
            <w:pPr>
              <w:spacing w:after="0"/>
              <w:rPr>
                <w:sz w:val="18"/>
                <w:szCs w:val="18"/>
              </w:rPr>
            </w:pPr>
            <w:r w:rsidRPr="00795D1B">
              <w:rPr>
                <w:sz w:val="18"/>
                <w:szCs w:val="18"/>
              </w:rPr>
              <w:t xml:space="preserve">Average Age – 23.4 </w:t>
            </w:r>
          </w:p>
        </w:tc>
        <w:tc>
          <w:tcPr>
            <w:tcW w:w="1250" w:type="pct"/>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1119BF6" w14:textId="77777777" w:rsidR="00157FC5" w:rsidRPr="00795D1B" w:rsidRDefault="00157FC5" w:rsidP="00157FC5">
            <w:pPr>
              <w:spacing w:after="0"/>
              <w:rPr>
                <w:sz w:val="18"/>
                <w:szCs w:val="18"/>
              </w:rPr>
            </w:pPr>
            <w:r w:rsidRPr="00795D1B">
              <w:rPr>
                <w:sz w:val="18"/>
                <w:szCs w:val="18"/>
              </w:rPr>
              <w:t xml:space="preserve">Admissions – 57 </w:t>
            </w:r>
          </w:p>
          <w:p w14:paraId="4B99327D" w14:textId="77777777" w:rsidR="00157FC5" w:rsidRPr="00795D1B" w:rsidRDefault="00157FC5" w:rsidP="00157FC5">
            <w:pPr>
              <w:spacing w:after="0"/>
              <w:rPr>
                <w:sz w:val="18"/>
                <w:szCs w:val="18"/>
              </w:rPr>
            </w:pPr>
            <w:r w:rsidRPr="00795D1B">
              <w:rPr>
                <w:sz w:val="18"/>
                <w:szCs w:val="18"/>
              </w:rPr>
              <w:t>Average BAC – .206</w:t>
            </w:r>
          </w:p>
          <w:p w14:paraId="4F32C4A5" w14:textId="77777777" w:rsidR="00157FC5" w:rsidRPr="00795D1B" w:rsidRDefault="00157FC5" w:rsidP="00157FC5">
            <w:pPr>
              <w:spacing w:after="0"/>
              <w:rPr>
                <w:sz w:val="18"/>
                <w:szCs w:val="18"/>
              </w:rPr>
            </w:pPr>
            <w:r w:rsidRPr="00795D1B">
              <w:rPr>
                <w:sz w:val="18"/>
                <w:szCs w:val="18"/>
              </w:rPr>
              <w:t xml:space="preserve">Average Age – 22.2 </w:t>
            </w:r>
          </w:p>
        </w:tc>
      </w:tr>
    </w:tbl>
    <w:p w14:paraId="16CB8674" w14:textId="77777777" w:rsidR="003A5B4D" w:rsidRDefault="003A5B4D" w:rsidP="003A5B4D">
      <w:pPr>
        <w:rPr>
          <w:sz w:val="24"/>
          <w:szCs w:val="24"/>
        </w:rPr>
      </w:pPr>
      <w:r w:rsidRPr="008444B0">
        <w:rPr>
          <w:sz w:val="24"/>
          <w:szCs w:val="24"/>
        </w:rPr>
        <w:t>Extreme drinking is more likely to occur with special events and celebrations including a 21</w:t>
      </w:r>
      <w:r w:rsidRPr="008444B0">
        <w:rPr>
          <w:sz w:val="24"/>
          <w:szCs w:val="24"/>
          <w:vertAlign w:val="superscript"/>
        </w:rPr>
        <w:t>st</w:t>
      </w:r>
      <w:r w:rsidRPr="008444B0">
        <w:rPr>
          <w:sz w:val="24"/>
          <w:szCs w:val="24"/>
        </w:rPr>
        <w:t xml:space="preserve"> birthday celebration, Halloween, St. Patrick’s Day or spring break. At Nebraska, students are more likely to engage in high-risk drinking in conjunction with a home football game. Figure 6 documents a steady increase in the number of students admitted to The Bridge for medically supervised detoxification services across three fall semesters beginning with the 2014-2015 academic year. Equally concerning is the steady rise in admissions with BACs in excess of .20.</w:t>
      </w:r>
    </w:p>
    <w:p w14:paraId="18F1C485" w14:textId="77777777" w:rsidR="0010258E" w:rsidRPr="008444B0" w:rsidRDefault="0010258E" w:rsidP="003A5B4D">
      <w:pPr>
        <w:rPr>
          <w:sz w:val="24"/>
          <w:szCs w:val="24"/>
        </w:rPr>
      </w:pPr>
      <w:r>
        <w:rPr>
          <w:sz w:val="24"/>
          <w:szCs w:val="24"/>
        </w:rPr>
        <w:t>In a 2010 study, Glassman and colleagues found that approximately 40% of the student study population participated in heavy game day drinking. Consistent with existing gender research, males typically consumed more alcohol</w:t>
      </w:r>
      <w:r w:rsidR="00465B72">
        <w:rPr>
          <w:sz w:val="24"/>
          <w:szCs w:val="24"/>
        </w:rPr>
        <w:t xml:space="preserve"> than females. </w:t>
      </w:r>
      <w:r>
        <w:rPr>
          <w:sz w:val="24"/>
          <w:szCs w:val="24"/>
        </w:rPr>
        <w:t xml:space="preserve">Greeks were twice as likely to engage in heavy episodic drinking in conjunction with game day activities. </w:t>
      </w:r>
      <w:r w:rsidR="00465B72">
        <w:rPr>
          <w:sz w:val="24"/>
          <w:szCs w:val="24"/>
        </w:rPr>
        <w:t xml:space="preserve">Nearly 50% of the Greeks surveyed reported engaging in extreme drinking as opposed to 1/3 of non-Greeks who reported similar drinking behavior. </w:t>
      </w:r>
    </w:p>
    <w:p w14:paraId="0E0CD486" w14:textId="77777777" w:rsidR="003A5B4D" w:rsidRDefault="003A5B4D" w:rsidP="003A5B4D">
      <w:pPr>
        <w:rPr>
          <w:sz w:val="20"/>
          <w:szCs w:val="20"/>
        </w:rPr>
      </w:pPr>
      <w:r>
        <w:rPr>
          <w:noProof/>
        </w:rPr>
        <w:drawing>
          <wp:inline distT="0" distB="0" distL="0" distR="0" wp14:anchorId="76632A7A" wp14:editId="55618427">
            <wp:extent cx="5943600" cy="3385820"/>
            <wp:effectExtent l="0" t="0" r="0" b="5080"/>
            <wp:docPr id="9" name="Chart 9">
              <a:extLst xmlns:a="http://schemas.openxmlformats.org/drawingml/2006/main">
                <a:ext uri="{FF2B5EF4-FFF2-40B4-BE49-F238E27FC236}">
                  <a16:creationId xmlns:a16="http://schemas.microsoft.com/office/drawing/2014/main" id="{73A2963F-36E1-493D-8EC6-DB29403C10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D41C09E" w14:textId="77777777" w:rsidR="00EC5ECA" w:rsidRDefault="003A5B4D" w:rsidP="003A5B4D">
      <w:pPr>
        <w:jc w:val="right"/>
        <w:rPr>
          <w:sz w:val="18"/>
          <w:szCs w:val="18"/>
        </w:rPr>
      </w:pPr>
      <w:r w:rsidRPr="003A5B4D">
        <w:rPr>
          <w:sz w:val="18"/>
          <w:szCs w:val="18"/>
        </w:rPr>
        <w:t>Figure 6. Civil Protective Custody Admissions to The Bridge – Fall 2014, Fall 2015 and Fall 2016</w:t>
      </w:r>
    </w:p>
    <w:p w14:paraId="7E87401E" w14:textId="77777777" w:rsidR="00465B72" w:rsidRDefault="00465B72" w:rsidP="00465B72">
      <w:pPr>
        <w:rPr>
          <w:sz w:val="24"/>
          <w:szCs w:val="24"/>
        </w:rPr>
      </w:pPr>
      <w:r>
        <w:rPr>
          <w:sz w:val="24"/>
          <w:szCs w:val="24"/>
        </w:rPr>
        <w:t>ALCOHOL-RELATED VIOLATIONS</w:t>
      </w:r>
    </w:p>
    <w:p w14:paraId="25B3AD1F" w14:textId="104ED4A6" w:rsidR="00465B72" w:rsidRDefault="00465B72" w:rsidP="00465B72">
      <w:pPr>
        <w:rPr>
          <w:sz w:val="24"/>
          <w:szCs w:val="24"/>
        </w:rPr>
      </w:pPr>
      <w:r>
        <w:rPr>
          <w:sz w:val="24"/>
          <w:szCs w:val="24"/>
        </w:rPr>
        <w:t>The University is able to track alcohol-related violations thanks to a cooperative agreement with the Lincoln Police Department. Each week, a list of alcohol-related citations issued in Lancaster County is pushed to the Office of the Vice Chancellor for Student Affairs regardless of citing agency</w:t>
      </w:r>
      <w:r w:rsidR="00412113">
        <w:rPr>
          <w:sz w:val="24"/>
          <w:szCs w:val="24"/>
        </w:rPr>
        <w:t xml:space="preserve"> e.g., LPD, UNLPD, Lancaster County Sheriff’s Office, and Nebraska State Patrol</w:t>
      </w:r>
      <w:r>
        <w:rPr>
          <w:sz w:val="24"/>
          <w:szCs w:val="24"/>
        </w:rPr>
        <w:t xml:space="preserve">. </w:t>
      </w:r>
      <w:r w:rsidR="00C871D2">
        <w:rPr>
          <w:sz w:val="24"/>
          <w:szCs w:val="24"/>
        </w:rPr>
        <w:t>Staff culls</w:t>
      </w:r>
      <w:r>
        <w:rPr>
          <w:sz w:val="24"/>
          <w:szCs w:val="24"/>
        </w:rPr>
        <w:t xml:space="preserve"> through the data to identify students cited for one of six citations typically associated with alcohol-related crime. Infractions include minor in possession/consumption (MIPC), DUI, disorderly house, procuring for minors, misrepresenting age, and underage attempt to purchase alcohol. The overwhelming majority of citations issued to students are for underage drinking (</w:t>
      </w:r>
      <w:r w:rsidR="00412113">
        <w:rPr>
          <w:sz w:val="24"/>
          <w:szCs w:val="24"/>
        </w:rPr>
        <w:t>78.5%). Figure 7 provides a four-year comparison of the most common alcohol-related citations issued in Lancaster County.</w:t>
      </w:r>
    </w:p>
    <w:p w14:paraId="7905393A" w14:textId="77777777" w:rsidR="00412113" w:rsidRDefault="00412113" w:rsidP="00412113">
      <w:pPr>
        <w:jc w:val="right"/>
        <w:rPr>
          <w:sz w:val="24"/>
          <w:szCs w:val="24"/>
        </w:rPr>
      </w:pPr>
      <w:r>
        <w:rPr>
          <w:noProof/>
        </w:rPr>
        <w:drawing>
          <wp:inline distT="0" distB="0" distL="0" distR="0" wp14:anchorId="1917B37F" wp14:editId="0F0E737D">
            <wp:extent cx="5943600" cy="3502660"/>
            <wp:effectExtent l="0" t="0" r="25400" b="2794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8716466" w14:textId="77777777" w:rsidR="00412113" w:rsidRDefault="00412113" w:rsidP="00412113">
      <w:pPr>
        <w:jc w:val="right"/>
        <w:rPr>
          <w:sz w:val="18"/>
          <w:szCs w:val="18"/>
        </w:rPr>
      </w:pPr>
      <w:r w:rsidRPr="00412113">
        <w:rPr>
          <w:sz w:val="18"/>
          <w:szCs w:val="18"/>
        </w:rPr>
        <w:t>Figure 7. Student Alcohol-Related Violations, Fall 2013 – February 2017</w:t>
      </w:r>
    </w:p>
    <w:p w14:paraId="1125807D" w14:textId="15BC8ABB" w:rsidR="00412113" w:rsidRDefault="00412113" w:rsidP="00412113">
      <w:pPr>
        <w:rPr>
          <w:sz w:val="24"/>
          <w:szCs w:val="24"/>
        </w:rPr>
      </w:pPr>
      <w:r>
        <w:rPr>
          <w:sz w:val="24"/>
          <w:szCs w:val="24"/>
        </w:rPr>
        <w:t>Across the four academic years, the University of Nebraska-Lincoln Police Department issued slightly more than one-half of the citations</w:t>
      </w:r>
      <w:r w:rsidR="00403B24">
        <w:rPr>
          <w:sz w:val="24"/>
          <w:szCs w:val="24"/>
        </w:rPr>
        <w:t xml:space="preserve"> to students</w:t>
      </w:r>
      <w:r>
        <w:rPr>
          <w:sz w:val="24"/>
          <w:szCs w:val="24"/>
        </w:rPr>
        <w:t xml:space="preserve"> followed closely by the Lincol</w:t>
      </w:r>
      <w:r w:rsidR="00A12706">
        <w:rPr>
          <w:sz w:val="24"/>
          <w:szCs w:val="24"/>
        </w:rPr>
        <w:t>n Police Department (see Figure 8 below). A history of alcohol-related violations can derail even the best student’s fut</w:t>
      </w:r>
      <w:r w:rsidR="00AF0B73">
        <w:rPr>
          <w:sz w:val="24"/>
          <w:szCs w:val="24"/>
        </w:rPr>
        <w:t>ure career plans. R</w:t>
      </w:r>
      <w:r w:rsidR="00A12706">
        <w:rPr>
          <w:sz w:val="24"/>
          <w:szCs w:val="24"/>
        </w:rPr>
        <w:t>isk adverse school systems avoid hiring prospective teachers with a history of alcohol-related problems</w:t>
      </w:r>
      <w:r w:rsidR="00AF0B73">
        <w:rPr>
          <w:sz w:val="24"/>
          <w:szCs w:val="24"/>
        </w:rPr>
        <w:t xml:space="preserve"> and p</w:t>
      </w:r>
      <w:r w:rsidR="00A12706">
        <w:rPr>
          <w:sz w:val="24"/>
          <w:szCs w:val="24"/>
        </w:rPr>
        <w:t>rofessional schools scrutinize applications from medical and l</w:t>
      </w:r>
      <w:r w:rsidR="00AF0B73">
        <w:rPr>
          <w:sz w:val="24"/>
          <w:szCs w:val="24"/>
        </w:rPr>
        <w:t xml:space="preserve">aw school applicants arrested for multiple infractions. </w:t>
      </w:r>
    </w:p>
    <w:tbl>
      <w:tblPr>
        <w:tblStyle w:val="TableGrid"/>
        <w:tblW w:w="0" w:type="auto"/>
        <w:tblLook w:val="04A0" w:firstRow="1" w:lastRow="0" w:firstColumn="1" w:lastColumn="0" w:noHBand="0" w:noVBand="1"/>
      </w:tblPr>
      <w:tblGrid>
        <w:gridCol w:w="1845"/>
        <w:gridCol w:w="1964"/>
        <w:gridCol w:w="1847"/>
        <w:gridCol w:w="1847"/>
        <w:gridCol w:w="1847"/>
      </w:tblGrid>
      <w:tr w:rsidR="00A12706" w14:paraId="4615E9AE" w14:textId="77777777" w:rsidTr="00A12706">
        <w:tc>
          <w:tcPr>
            <w:tcW w:w="9350" w:type="dxa"/>
            <w:gridSpan w:val="5"/>
          </w:tcPr>
          <w:p w14:paraId="66BEF04F" w14:textId="77777777" w:rsidR="00A12706" w:rsidRDefault="00AF0B73" w:rsidP="00A12706">
            <w:pPr>
              <w:jc w:val="center"/>
            </w:pPr>
            <w:r>
              <w:t xml:space="preserve">Alcohol-Related </w:t>
            </w:r>
            <w:r w:rsidR="00A12706">
              <w:t>Citations</w:t>
            </w:r>
            <w:r>
              <w:t xml:space="preserve"> Issued to Students</w:t>
            </w:r>
            <w:r w:rsidR="00A12706">
              <w:t xml:space="preserve"> by Law Enforcement Agency</w:t>
            </w:r>
            <w:r w:rsidR="00A12706">
              <w:br/>
              <w:t>Academic years 2013-2014, 2014-2015, 2015-2016, and 2016-2017</w:t>
            </w:r>
          </w:p>
        </w:tc>
      </w:tr>
      <w:tr w:rsidR="00A12706" w14:paraId="11FBA892" w14:textId="77777777" w:rsidTr="00A12706">
        <w:tc>
          <w:tcPr>
            <w:tcW w:w="1845" w:type="dxa"/>
          </w:tcPr>
          <w:p w14:paraId="51B29007" w14:textId="77777777" w:rsidR="00A12706" w:rsidRDefault="00A12706" w:rsidP="00A12706">
            <w:pPr>
              <w:jc w:val="center"/>
            </w:pPr>
          </w:p>
        </w:tc>
        <w:tc>
          <w:tcPr>
            <w:tcW w:w="1964" w:type="dxa"/>
          </w:tcPr>
          <w:p w14:paraId="4A4C31E3" w14:textId="77777777" w:rsidR="00A12706" w:rsidRDefault="00A12706" w:rsidP="00A12706">
            <w:pPr>
              <w:jc w:val="center"/>
            </w:pPr>
            <w:r>
              <w:t>2013-2014</w:t>
            </w:r>
          </w:p>
        </w:tc>
        <w:tc>
          <w:tcPr>
            <w:tcW w:w="1847" w:type="dxa"/>
          </w:tcPr>
          <w:p w14:paraId="6822A708" w14:textId="77777777" w:rsidR="00A12706" w:rsidRDefault="00A12706" w:rsidP="00A12706">
            <w:pPr>
              <w:jc w:val="center"/>
            </w:pPr>
            <w:r>
              <w:t>2014-2015</w:t>
            </w:r>
          </w:p>
        </w:tc>
        <w:tc>
          <w:tcPr>
            <w:tcW w:w="1847" w:type="dxa"/>
          </w:tcPr>
          <w:p w14:paraId="146EC862" w14:textId="77777777" w:rsidR="00A12706" w:rsidRDefault="00A12706" w:rsidP="00A12706">
            <w:pPr>
              <w:jc w:val="center"/>
            </w:pPr>
            <w:r>
              <w:t>2015-2016</w:t>
            </w:r>
          </w:p>
        </w:tc>
        <w:tc>
          <w:tcPr>
            <w:tcW w:w="1847" w:type="dxa"/>
          </w:tcPr>
          <w:p w14:paraId="790A0F58" w14:textId="77777777" w:rsidR="00A12706" w:rsidRDefault="00A12706" w:rsidP="00A12706">
            <w:pPr>
              <w:jc w:val="center"/>
            </w:pPr>
            <w:r>
              <w:t>2016-2017</w:t>
            </w:r>
          </w:p>
        </w:tc>
      </w:tr>
      <w:tr w:rsidR="00A12706" w14:paraId="24AAA5FA" w14:textId="77777777" w:rsidTr="00A12706">
        <w:tc>
          <w:tcPr>
            <w:tcW w:w="1845" w:type="dxa"/>
          </w:tcPr>
          <w:p w14:paraId="7E7E976B" w14:textId="77777777" w:rsidR="00A12706" w:rsidRDefault="00A12706" w:rsidP="00A12706">
            <w:r>
              <w:t>Lincoln Police Department</w:t>
            </w:r>
          </w:p>
        </w:tc>
        <w:tc>
          <w:tcPr>
            <w:tcW w:w="1964" w:type="dxa"/>
          </w:tcPr>
          <w:p w14:paraId="5983CE6B" w14:textId="77777777" w:rsidR="00A12706" w:rsidRDefault="00A12706" w:rsidP="00A12706">
            <w:pPr>
              <w:jc w:val="right"/>
            </w:pPr>
            <w:r>
              <w:t>43%</w:t>
            </w:r>
          </w:p>
        </w:tc>
        <w:tc>
          <w:tcPr>
            <w:tcW w:w="1847" w:type="dxa"/>
          </w:tcPr>
          <w:p w14:paraId="3092C41A" w14:textId="77777777" w:rsidR="00A12706" w:rsidRDefault="00A12706" w:rsidP="00A12706">
            <w:pPr>
              <w:jc w:val="right"/>
            </w:pPr>
            <w:r>
              <w:t>34%</w:t>
            </w:r>
          </w:p>
        </w:tc>
        <w:tc>
          <w:tcPr>
            <w:tcW w:w="1847" w:type="dxa"/>
          </w:tcPr>
          <w:p w14:paraId="0979DC23" w14:textId="77777777" w:rsidR="00A12706" w:rsidRDefault="00A12706" w:rsidP="00A12706">
            <w:pPr>
              <w:jc w:val="right"/>
            </w:pPr>
            <w:r>
              <w:t>42%</w:t>
            </w:r>
          </w:p>
        </w:tc>
        <w:tc>
          <w:tcPr>
            <w:tcW w:w="1847" w:type="dxa"/>
          </w:tcPr>
          <w:p w14:paraId="22FED128" w14:textId="77777777" w:rsidR="00A12706" w:rsidRDefault="00A12706" w:rsidP="00A12706">
            <w:pPr>
              <w:jc w:val="right"/>
            </w:pPr>
            <w:r>
              <w:t>40%</w:t>
            </w:r>
          </w:p>
        </w:tc>
      </w:tr>
      <w:tr w:rsidR="00A12706" w14:paraId="4C41FDCE" w14:textId="77777777" w:rsidTr="00A12706">
        <w:tc>
          <w:tcPr>
            <w:tcW w:w="1845" w:type="dxa"/>
          </w:tcPr>
          <w:p w14:paraId="41AE355F" w14:textId="77777777" w:rsidR="00A12706" w:rsidRDefault="00A12706" w:rsidP="00A12706">
            <w:r>
              <w:t>Lancaster County Sheriff</w:t>
            </w:r>
          </w:p>
        </w:tc>
        <w:tc>
          <w:tcPr>
            <w:tcW w:w="1964" w:type="dxa"/>
          </w:tcPr>
          <w:p w14:paraId="53425746" w14:textId="77777777" w:rsidR="00A12706" w:rsidRDefault="00A12706" w:rsidP="00A12706">
            <w:pPr>
              <w:jc w:val="right"/>
            </w:pPr>
            <w:r>
              <w:t>2%</w:t>
            </w:r>
          </w:p>
        </w:tc>
        <w:tc>
          <w:tcPr>
            <w:tcW w:w="1847" w:type="dxa"/>
          </w:tcPr>
          <w:p w14:paraId="331B097F" w14:textId="77777777" w:rsidR="00A12706" w:rsidRDefault="00A12706" w:rsidP="00A12706">
            <w:pPr>
              <w:jc w:val="right"/>
            </w:pPr>
            <w:r>
              <w:t>1%</w:t>
            </w:r>
          </w:p>
        </w:tc>
        <w:tc>
          <w:tcPr>
            <w:tcW w:w="1847" w:type="dxa"/>
          </w:tcPr>
          <w:p w14:paraId="2F482AA6" w14:textId="77777777" w:rsidR="00A12706" w:rsidRDefault="00A12706" w:rsidP="00A12706">
            <w:pPr>
              <w:jc w:val="right"/>
            </w:pPr>
            <w:r>
              <w:t>4%</w:t>
            </w:r>
          </w:p>
        </w:tc>
        <w:tc>
          <w:tcPr>
            <w:tcW w:w="1847" w:type="dxa"/>
          </w:tcPr>
          <w:p w14:paraId="7E98F027" w14:textId="77777777" w:rsidR="00A12706" w:rsidRDefault="00A12706" w:rsidP="00A12706">
            <w:pPr>
              <w:jc w:val="right"/>
            </w:pPr>
            <w:r>
              <w:t>4%</w:t>
            </w:r>
          </w:p>
        </w:tc>
      </w:tr>
      <w:tr w:rsidR="00A12706" w14:paraId="18CCB9A3" w14:textId="77777777" w:rsidTr="00A12706">
        <w:tc>
          <w:tcPr>
            <w:tcW w:w="1845" w:type="dxa"/>
          </w:tcPr>
          <w:p w14:paraId="1AB2A892" w14:textId="77777777" w:rsidR="00A12706" w:rsidRDefault="00A12706" w:rsidP="00A12706">
            <w:r>
              <w:t xml:space="preserve">UNL Police Department </w:t>
            </w:r>
          </w:p>
        </w:tc>
        <w:tc>
          <w:tcPr>
            <w:tcW w:w="1964" w:type="dxa"/>
          </w:tcPr>
          <w:p w14:paraId="52F9AF9F" w14:textId="77777777" w:rsidR="00A12706" w:rsidRDefault="00A12706" w:rsidP="00A12706">
            <w:pPr>
              <w:jc w:val="right"/>
            </w:pPr>
            <w:r>
              <w:t>55%</w:t>
            </w:r>
          </w:p>
        </w:tc>
        <w:tc>
          <w:tcPr>
            <w:tcW w:w="1847" w:type="dxa"/>
          </w:tcPr>
          <w:p w14:paraId="4FD344A5" w14:textId="77777777" w:rsidR="00A12706" w:rsidRDefault="00A12706" w:rsidP="00A12706">
            <w:pPr>
              <w:jc w:val="right"/>
            </w:pPr>
            <w:r>
              <w:t>65%</w:t>
            </w:r>
          </w:p>
        </w:tc>
        <w:tc>
          <w:tcPr>
            <w:tcW w:w="1847" w:type="dxa"/>
          </w:tcPr>
          <w:p w14:paraId="76FD5EA1" w14:textId="77777777" w:rsidR="00A12706" w:rsidRDefault="00A12706" w:rsidP="00A12706">
            <w:pPr>
              <w:jc w:val="right"/>
            </w:pPr>
            <w:r>
              <w:t>54%</w:t>
            </w:r>
          </w:p>
        </w:tc>
        <w:tc>
          <w:tcPr>
            <w:tcW w:w="1847" w:type="dxa"/>
          </w:tcPr>
          <w:p w14:paraId="71244DE2" w14:textId="77777777" w:rsidR="00A12706" w:rsidRDefault="00A12706" w:rsidP="00A12706">
            <w:pPr>
              <w:jc w:val="right"/>
            </w:pPr>
            <w:r>
              <w:t>56%</w:t>
            </w:r>
          </w:p>
        </w:tc>
      </w:tr>
    </w:tbl>
    <w:p w14:paraId="00FA504D" w14:textId="77777777" w:rsidR="00A12706" w:rsidRDefault="00AF0B73" w:rsidP="00AF0B73">
      <w:pPr>
        <w:jc w:val="right"/>
        <w:rPr>
          <w:sz w:val="18"/>
          <w:szCs w:val="18"/>
        </w:rPr>
      </w:pPr>
      <w:r w:rsidRPr="00AF0B73">
        <w:rPr>
          <w:sz w:val="18"/>
          <w:szCs w:val="18"/>
        </w:rPr>
        <w:t>Figure 8. Alcohol-Related Citations Issued to Students by Law Enforcement Agency</w:t>
      </w:r>
    </w:p>
    <w:p w14:paraId="1DE74249" w14:textId="77777777" w:rsidR="00AF0B73" w:rsidRDefault="00AF0B73" w:rsidP="00AF0B73">
      <w:pPr>
        <w:jc w:val="right"/>
        <w:rPr>
          <w:sz w:val="18"/>
          <w:szCs w:val="18"/>
        </w:rPr>
      </w:pPr>
    </w:p>
    <w:p w14:paraId="4BE6B9B8" w14:textId="77777777" w:rsidR="00AF0B73" w:rsidRDefault="00AF0B73" w:rsidP="00AF0B73">
      <w:pPr>
        <w:rPr>
          <w:sz w:val="24"/>
          <w:szCs w:val="24"/>
        </w:rPr>
      </w:pPr>
      <w:r>
        <w:rPr>
          <w:sz w:val="24"/>
          <w:szCs w:val="24"/>
        </w:rPr>
        <w:t xml:space="preserve">Beginning with the 2016-2017 academic year, the Office of Fraternity and Sorority Life agreed to begin tracking alcohol-related citations to members of the University Greek community. </w:t>
      </w:r>
      <w:r w:rsidR="00C263F5">
        <w:rPr>
          <w:sz w:val="24"/>
          <w:szCs w:val="24"/>
        </w:rPr>
        <w:t xml:space="preserve">Of the 385 citations issued to students during the first full five months of the current academic year (September through January), 147 or 38% of the citations were identified as Greek members. Currently, 24.8% of the undergraduate student population is affiliated with a Greek chapter. </w:t>
      </w:r>
    </w:p>
    <w:p w14:paraId="6D6FACF5" w14:textId="77777777" w:rsidR="00C263F5" w:rsidRDefault="00C263F5" w:rsidP="00AF0B73">
      <w:pPr>
        <w:rPr>
          <w:sz w:val="24"/>
          <w:szCs w:val="24"/>
        </w:rPr>
      </w:pPr>
      <w:r>
        <w:rPr>
          <w:sz w:val="24"/>
          <w:szCs w:val="24"/>
        </w:rPr>
        <w:t>A point of pride from the NU Directions project was the dramatic decline in wild party complai</w:t>
      </w:r>
      <w:r w:rsidR="00BC3077">
        <w:rPr>
          <w:sz w:val="24"/>
          <w:szCs w:val="24"/>
        </w:rPr>
        <w:t>nts and repeat offenders. As presented</w:t>
      </w:r>
      <w:r>
        <w:rPr>
          <w:sz w:val="24"/>
          <w:szCs w:val="24"/>
        </w:rPr>
        <w:t xml:space="preserve"> in Figure 9</w:t>
      </w:r>
      <w:r w:rsidR="00BC3077">
        <w:rPr>
          <w:sz w:val="24"/>
          <w:szCs w:val="24"/>
        </w:rPr>
        <w:t xml:space="preserve">, efforts to increase quality of life in the neighborhoods surrounding the University campus resulted in a 78% decline in wild party complaints citywide and a 62% decline in repeat complaints at the same address. Unfortunately, during the 2016 calendar year, area neighborhoods experienced an uptick in house parties resulting in a 12% increase over 2015.   A slightly higher increase was observed in repeat complaints at the same address. </w:t>
      </w:r>
    </w:p>
    <w:p w14:paraId="704B24BE" w14:textId="77777777" w:rsidR="00BC3077" w:rsidRDefault="00BC3077" w:rsidP="00AF0B73">
      <w:pPr>
        <w:rPr>
          <w:sz w:val="24"/>
          <w:szCs w:val="24"/>
        </w:rPr>
      </w:pPr>
      <w:r>
        <w:rPr>
          <w:noProof/>
        </w:rPr>
        <w:drawing>
          <wp:inline distT="0" distB="0" distL="0" distR="0" wp14:anchorId="6DF5D2C3" wp14:editId="0AA36E24">
            <wp:extent cx="5943600" cy="3118485"/>
            <wp:effectExtent l="0" t="0" r="25400" b="3111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DCD830A" w14:textId="77777777" w:rsidR="00BC3077" w:rsidRPr="00D72476" w:rsidRDefault="00BC3077" w:rsidP="00BC3077">
      <w:pPr>
        <w:jc w:val="right"/>
        <w:rPr>
          <w:sz w:val="18"/>
          <w:szCs w:val="18"/>
        </w:rPr>
      </w:pPr>
      <w:r w:rsidRPr="00D72476">
        <w:rPr>
          <w:sz w:val="18"/>
          <w:szCs w:val="18"/>
        </w:rPr>
        <w:t>Figure 9. Wild Party Calls by Dispatch and Repeat Complaints, 2005 – 2016</w:t>
      </w:r>
    </w:p>
    <w:p w14:paraId="2028CD68" w14:textId="1BCB6D78" w:rsidR="00686399" w:rsidRDefault="00D72476" w:rsidP="00BC3077">
      <w:pPr>
        <w:rPr>
          <w:sz w:val="24"/>
          <w:szCs w:val="24"/>
        </w:rPr>
      </w:pPr>
      <w:r>
        <w:rPr>
          <w:sz w:val="24"/>
          <w:szCs w:val="24"/>
        </w:rPr>
        <w:t>Many of the wild party complaints reported during 2016 were affiliated with game day tailgates hosted in the backyard of one or more of the residential properties located in the North Bottoms. The citation numbers are deceiving. Given the demand for law enforcement resources on game day, many of the problems are handled on the scene by the officers without an arrest. Return visits to the same property are more likely to result in disorderly house citation</w:t>
      </w:r>
      <w:r w:rsidR="00686399">
        <w:rPr>
          <w:sz w:val="24"/>
          <w:szCs w:val="24"/>
        </w:rPr>
        <w:t>s</w:t>
      </w:r>
      <w:r>
        <w:rPr>
          <w:sz w:val="24"/>
          <w:szCs w:val="24"/>
        </w:rPr>
        <w:t xml:space="preserve"> issued to tenants and law enforcement contact with the landlord. </w:t>
      </w:r>
      <w:r w:rsidR="00686399">
        <w:rPr>
          <w:sz w:val="24"/>
          <w:szCs w:val="24"/>
        </w:rPr>
        <w:t xml:space="preserve">Approximately 50% of the post event investigations identified Greek community involvement. </w:t>
      </w:r>
      <w:r>
        <w:rPr>
          <w:sz w:val="24"/>
          <w:szCs w:val="24"/>
        </w:rPr>
        <w:t>Students cited for disorderly house are held responsible under the Student Code of Conduct for behavior disru</w:t>
      </w:r>
      <w:r w:rsidR="00843CE8">
        <w:rPr>
          <w:sz w:val="24"/>
          <w:szCs w:val="24"/>
        </w:rPr>
        <w:t>ptive to the community. Earlier this semester (Spring 2017)</w:t>
      </w:r>
      <w:r>
        <w:rPr>
          <w:sz w:val="24"/>
          <w:szCs w:val="24"/>
        </w:rPr>
        <w:t>, the</w:t>
      </w:r>
      <w:r w:rsidR="00F1483D">
        <w:rPr>
          <w:sz w:val="24"/>
          <w:szCs w:val="24"/>
        </w:rPr>
        <w:t xml:space="preserve"> Office of Student Conduct</w:t>
      </w:r>
      <w:r>
        <w:rPr>
          <w:sz w:val="24"/>
          <w:szCs w:val="24"/>
        </w:rPr>
        <w:t xml:space="preserve"> increased the consequences in an effort to curb growing neighborhood disruption of quality of life. </w:t>
      </w:r>
      <w:r w:rsidR="00686399">
        <w:rPr>
          <w:sz w:val="24"/>
          <w:szCs w:val="24"/>
        </w:rPr>
        <w:t>On occasion, responding law enforcement officers provide p</w:t>
      </w:r>
      <w:r w:rsidR="009517F6">
        <w:rPr>
          <w:sz w:val="24"/>
          <w:szCs w:val="24"/>
        </w:rPr>
        <w:t>hotographs of the most disruptive</w:t>
      </w:r>
      <w:r w:rsidR="00686399">
        <w:rPr>
          <w:sz w:val="24"/>
          <w:szCs w:val="24"/>
        </w:rPr>
        <w:t xml:space="preserve"> gatherings including those below.</w:t>
      </w:r>
    </w:p>
    <w:p w14:paraId="585CE027" w14:textId="77777777" w:rsidR="00686399" w:rsidRDefault="00686399" w:rsidP="00BC3077">
      <w:pPr>
        <w:rPr>
          <w:sz w:val="24"/>
          <w:szCs w:val="24"/>
        </w:rPr>
      </w:pPr>
      <w:r>
        <w:rPr>
          <w:noProof/>
          <w:sz w:val="24"/>
          <w:szCs w:val="24"/>
        </w:rPr>
        <w:drawing>
          <wp:inline distT="0" distB="0" distL="0" distR="0" wp14:anchorId="3AC512C0" wp14:editId="356D2804">
            <wp:extent cx="2105406" cy="2807208"/>
            <wp:effectExtent l="76200" t="76200" r="155575" b="16510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05406" cy="28072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9517F6" w:rsidRPr="009517F6">
        <w:rPr>
          <w:noProof/>
          <w:sz w:val="24"/>
          <w:szCs w:val="24"/>
        </w:rPr>
        <w:drawing>
          <wp:inline distT="0" distB="0" distL="0" distR="0" wp14:anchorId="37A4FA3E" wp14:editId="4F20FFBA">
            <wp:extent cx="2105406" cy="2807208"/>
            <wp:effectExtent l="76200" t="76200" r="155575" b="16510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05406" cy="28072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E101C0B" w14:textId="77777777" w:rsidR="007D7270" w:rsidRDefault="007D7270" w:rsidP="00BC3077">
      <w:pPr>
        <w:rPr>
          <w:sz w:val="24"/>
          <w:szCs w:val="24"/>
        </w:rPr>
      </w:pPr>
      <w:r>
        <w:rPr>
          <w:sz w:val="24"/>
          <w:szCs w:val="24"/>
        </w:rPr>
        <w:t>SUMMARY</w:t>
      </w:r>
    </w:p>
    <w:p w14:paraId="1B18ADE3" w14:textId="0CF02EE6" w:rsidR="005C6173" w:rsidRDefault="005C6173" w:rsidP="005C6173">
      <w:pPr>
        <w:rPr>
          <w:sz w:val="24"/>
          <w:szCs w:val="24"/>
        </w:rPr>
      </w:pPr>
      <w:r>
        <w:rPr>
          <w:sz w:val="24"/>
          <w:szCs w:val="24"/>
        </w:rPr>
        <w:t>Any increase in the problems associated with high-risk alcohol use among students is cause for concern. Key findings from this Briefing Report include the following:</w:t>
      </w:r>
    </w:p>
    <w:p w14:paraId="7543E586" w14:textId="7460966E" w:rsidR="005C6173" w:rsidRDefault="005C6173" w:rsidP="005C6173">
      <w:pPr>
        <w:pStyle w:val="ListParagraph"/>
        <w:numPr>
          <w:ilvl w:val="0"/>
          <w:numId w:val="1"/>
        </w:numPr>
        <w:rPr>
          <w:sz w:val="24"/>
          <w:szCs w:val="24"/>
        </w:rPr>
      </w:pPr>
      <w:r>
        <w:rPr>
          <w:sz w:val="24"/>
          <w:szCs w:val="24"/>
        </w:rPr>
        <w:t>While the University of Nebraska-Lincoln has realized declines in binge drinking among the general student population (62% in 1997 to 38% in 2015), the University Greek community’s binge rate (63% for men and 62% for women) remains higher than the national average of 37%.</w:t>
      </w:r>
    </w:p>
    <w:p w14:paraId="3877FA77" w14:textId="40211F03" w:rsidR="005C6173" w:rsidRDefault="005C6173" w:rsidP="005C6173">
      <w:pPr>
        <w:pStyle w:val="ListParagraph"/>
        <w:numPr>
          <w:ilvl w:val="0"/>
          <w:numId w:val="1"/>
        </w:numPr>
        <w:rPr>
          <w:sz w:val="24"/>
          <w:szCs w:val="24"/>
        </w:rPr>
      </w:pPr>
      <w:r>
        <w:rPr>
          <w:sz w:val="24"/>
          <w:szCs w:val="24"/>
        </w:rPr>
        <w:t xml:space="preserve">Beginning with the </w:t>
      </w:r>
      <w:r w:rsidRPr="00656B5B">
        <w:rPr>
          <w:sz w:val="24"/>
          <w:szCs w:val="24"/>
        </w:rPr>
        <w:t>2002</w:t>
      </w:r>
      <w:r>
        <w:rPr>
          <w:sz w:val="24"/>
          <w:szCs w:val="24"/>
        </w:rPr>
        <w:t>-2003 academic year</w:t>
      </w:r>
      <w:r w:rsidRPr="00656B5B">
        <w:rPr>
          <w:sz w:val="24"/>
          <w:szCs w:val="24"/>
        </w:rPr>
        <w:t>, the campus experienced a shift from a majority of infrequent and fre</w:t>
      </w:r>
      <w:r>
        <w:rPr>
          <w:sz w:val="24"/>
          <w:szCs w:val="24"/>
        </w:rPr>
        <w:t>quent binge drinkers to a significant</w:t>
      </w:r>
      <w:r w:rsidRPr="00656B5B">
        <w:rPr>
          <w:sz w:val="24"/>
          <w:szCs w:val="24"/>
        </w:rPr>
        <w:t xml:space="preserve"> percentage of incoming students who report either abstaining from alcohol or drinkin</w:t>
      </w:r>
      <w:r>
        <w:rPr>
          <w:sz w:val="24"/>
          <w:szCs w:val="24"/>
        </w:rPr>
        <w:t xml:space="preserve">g in low risk ways when they </w:t>
      </w:r>
      <w:r w:rsidRPr="00656B5B">
        <w:rPr>
          <w:sz w:val="24"/>
          <w:szCs w:val="24"/>
        </w:rPr>
        <w:t>choose to consume alcohol</w:t>
      </w:r>
      <w:r>
        <w:rPr>
          <w:sz w:val="24"/>
          <w:szCs w:val="24"/>
        </w:rPr>
        <w:t xml:space="preserve">. However, </w:t>
      </w:r>
      <w:r w:rsidRPr="00656B5B">
        <w:rPr>
          <w:sz w:val="24"/>
          <w:szCs w:val="24"/>
        </w:rPr>
        <w:t>the binge rate of students interested in j</w:t>
      </w:r>
      <w:r>
        <w:rPr>
          <w:sz w:val="24"/>
          <w:szCs w:val="24"/>
        </w:rPr>
        <w:t>oining the Greek system exceed</w:t>
      </w:r>
      <w:r w:rsidRPr="00656B5B">
        <w:rPr>
          <w:sz w:val="24"/>
          <w:szCs w:val="24"/>
        </w:rPr>
        <w:t xml:space="preserve"> 31% - nearly double (15.7%) of their non-Greek peers.</w:t>
      </w:r>
    </w:p>
    <w:p w14:paraId="51AF7BEC" w14:textId="0F33E314" w:rsidR="006B7EEC" w:rsidRDefault="006B7EEC" w:rsidP="005C6173">
      <w:pPr>
        <w:pStyle w:val="ListParagraph"/>
        <w:numPr>
          <w:ilvl w:val="0"/>
          <w:numId w:val="1"/>
        </w:numPr>
        <w:rPr>
          <w:sz w:val="24"/>
          <w:szCs w:val="24"/>
        </w:rPr>
      </w:pPr>
      <w:r>
        <w:rPr>
          <w:sz w:val="24"/>
          <w:szCs w:val="24"/>
        </w:rPr>
        <w:t>Since 2013, University student admissions to civil protective custody have increased by 41%. Students admitted with BACs in excess of .20 have increased by 32%</w:t>
      </w:r>
      <w:r w:rsidR="00987B26">
        <w:rPr>
          <w:sz w:val="24"/>
          <w:szCs w:val="24"/>
        </w:rPr>
        <w:t>.</w:t>
      </w:r>
    </w:p>
    <w:p w14:paraId="7EC3C0CE" w14:textId="2A6B17E3" w:rsidR="006B7EEC" w:rsidRDefault="006B7EEC" w:rsidP="005C6173">
      <w:pPr>
        <w:pStyle w:val="ListParagraph"/>
        <w:numPr>
          <w:ilvl w:val="0"/>
          <w:numId w:val="1"/>
        </w:numPr>
        <w:rPr>
          <w:sz w:val="24"/>
          <w:szCs w:val="24"/>
        </w:rPr>
      </w:pPr>
      <w:r>
        <w:rPr>
          <w:sz w:val="24"/>
          <w:szCs w:val="24"/>
        </w:rPr>
        <w:t>The majority of alcohol-related citations issued to Nebraska students are for Minor in Possession/Consumption (76% during the 2015-2016 academic year). Members of the University Greek community are overrepresented in the violation data collected during the 2016 Fall semester.</w:t>
      </w:r>
    </w:p>
    <w:p w14:paraId="698016E9" w14:textId="59402B26" w:rsidR="006B7EEC" w:rsidRPr="005C6173" w:rsidRDefault="006B7EEC" w:rsidP="006B7EEC">
      <w:pPr>
        <w:pStyle w:val="ListParagraph"/>
        <w:numPr>
          <w:ilvl w:val="0"/>
          <w:numId w:val="1"/>
        </w:numPr>
        <w:rPr>
          <w:sz w:val="24"/>
          <w:szCs w:val="24"/>
        </w:rPr>
      </w:pPr>
      <w:r>
        <w:rPr>
          <w:sz w:val="24"/>
          <w:szCs w:val="24"/>
        </w:rPr>
        <w:t>The percentage of wild party calls and repeat complaints increase by 12% and 25% respectively during the first five months of the 2016-2017 academic year. Approximately 50% of the post event investigations identified Greek community involvement.</w:t>
      </w:r>
    </w:p>
    <w:p w14:paraId="7E9CC553" w14:textId="65196A87" w:rsidR="00FC1116" w:rsidRDefault="005C6173" w:rsidP="00BC3077">
      <w:pPr>
        <w:rPr>
          <w:sz w:val="24"/>
          <w:szCs w:val="24"/>
        </w:rPr>
      </w:pPr>
      <w:r>
        <w:rPr>
          <w:sz w:val="24"/>
          <w:szCs w:val="24"/>
        </w:rPr>
        <w:t>The Campus-Community Task Force is</w:t>
      </w:r>
      <w:r w:rsidR="00FC1116">
        <w:rPr>
          <w:sz w:val="24"/>
          <w:szCs w:val="24"/>
        </w:rPr>
        <w:t xml:space="preserve"> not without a roadmap. Almost 20 years ago, a similar group launched a similar initiative with a much broader scope. Using an environmental approach involving education, policy and enforcement, the campus realized a 44% decline in the student high-risk drinking rate and a similar decline in primary and secondary effects.</w:t>
      </w:r>
    </w:p>
    <w:p w14:paraId="4B10D712" w14:textId="64B7D0D8" w:rsidR="00686399" w:rsidRDefault="00403B24" w:rsidP="00BC3077">
      <w:pPr>
        <w:rPr>
          <w:sz w:val="24"/>
          <w:szCs w:val="24"/>
        </w:rPr>
      </w:pPr>
      <w:r>
        <w:rPr>
          <w:sz w:val="24"/>
          <w:szCs w:val="24"/>
        </w:rPr>
        <w:t>This report i</w:t>
      </w:r>
      <w:r w:rsidR="007D7270">
        <w:rPr>
          <w:sz w:val="24"/>
          <w:szCs w:val="24"/>
        </w:rPr>
        <w:t>s intended to provide the necessary background information</w:t>
      </w:r>
      <w:r w:rsidR="0030408E">
        <w:rPr>
          <w:sz w:val="24"/>
          <w:szCs w:val="24"/>
        </w:rPr>
        <w:t xml:space="preserve"> to help </w:t>
      </w:r>
      <w:r>
        <w:rPr>
          <w:sz w:val="24"/>
          <w:szCs w:val="24"/>
        </w:rPr>
        <w:t xml:space="preserve">identify targets for intervention. </w:t>
      </w:r>
      <w:r w:rsidR="00FC1116">
        <w:rPr>
          <w:sz w:val="24"/>
          <w:szCs w:val="24"/>
        </w:rPr>
        <w:t>A subsequent report will be prepared and distributed describing the evidence-based strategies currently recommended by the National Institute of Alcoholism and Alcohol Abuse for colleges and universities.</w:t>
      </w:r>
    </w:p>
    <w:p w14:paraId="7AD3E4DA" w14:textId="02FFB301" w:rsidR="006B7EEC" w:rsidRDefault="006B7EEC">
      <w:pPr>
        <w:rPr>
          <w:sz w:val="24"/>
          <w:szCs w:val="24"/>
        </w:rPr>
      </w:pPr>
      <w:r>
        <w:rPr>
          <w:sz w:val="24"/>
          <w:szCs w:val="24"/>
        </w:rPr>
        <w:br w:type="page"/>
      </w:r>
    </w:p>
    <w:p w14:paraId="704DF7A2" w14:textId="2ED96A2C" w:rsidR="00FC1116" w:rsidRDefault="005C6173" w:rsidP="00FC1116">
      <w:pPr>
        <w:jc w:val="center"/>
        <w:rPr>
          <w:sz w:val="24"/>
          <w:szCs w:val="24"/>
        </w:rPr>
      </w:pPr>
      <w:r>
        <w:rPr>
          <w:sz w:val="24"/>
          <w:szCs w:val="24"/>
        </w:rPr>
        <w:t>References</w:t>
      </w:r>
    </w:p>
    <w:p w14:paraId="5D0B7BEB" w14:textId="1C9DD08C" w:rsidR="00FC1116" w:rsidRDefault="00FC1116" w:rsidP="00FC1116">
      <w:pPr>
        <w:rPr>
          <w:sz w:val="24"/>
          <w:szCs w:val="24"/>
        </w:rPr>
      </w:pPr>
      <w:r>
        <w:rPr>
          <w:sz w:val="24"/>
          <w:szCs w:val="24"/>
        </w:rPr>
        <w:t>Glassman TJ, Dodd VJ, Sheu JJ, Rienzo BA, Wagenaar AC (2010) Extreme ritualistic alcohol consumption among college students on game day. Journal of American College Health 58:413-423</w:t>
      </w:r>
    </w:p>
    <w:p w14:paraId="22527C20" w14:textId="54C32266" w:rsidR="00FC1116" w:rsidRDefault="00FC1116" w:rsidP="00FC1116">
      <w:pPr>
        <w:rPr>
          <w:sz w:val="24"/>
          <w:szCs w:val="24"/>
        </w:rPr>
      </w:pPr>
      <w:r>
        <w:rPr>
          <w:sz w:val="24"/>
          <w:szCs w:val="24"/>
        </w:rPr>
        <w:t>Gruenewald PJ, Johnson FW, Light JM, Saltz RF (2003) Drinking to extremes: theoretical and empirical analyses of peak drinking levels among college students. Journal of Studies on Alcohol 64:817-824</w:t>
      </w:r>
    </w:p>
    <w:p w14:paraId="7A21F730" w14:textId="2EA2458A" w:rsidR="00FC1116" w:rsidRDefault="00FC1116" w:rsidP="00FC1116">
      <w:pPr>
        <w:rPr>
          <w:sz w:val="24"/>
          <w:szCs w:val="24"/>
        </w:rPr>
      </w:pPr>
      <w:r>
        <w:rPr>
          <w:sz w:val="24"/>
          <w:szCs w:val="24"/>
        </w:rPr>
        <w:t>Naimi TS, Nelson DE, Brewer RD (2010) The intensity of binge alcohol consumption among U.S. adults. American Journal of Preventative Medicine 38:201-207</w:t>
      </w:r>
    </w:p>
    <w:p w14:paraId="6D564D18" w14:textId="3BDDC195" w:rsidR="00FC1116" w:rsidRDefault="00FC1116" w:rsidP="00FC1116">
      <w:pPr>
        <w:rPr>
          <w:sz w:val="24"/>
          <w:szCs w:val="24"/>
        </w:rPr>
      </w:pPr>
      <w:r>
        <w:rPr>
          <w:sz w:val="24"/>
          <w:szCs w:val="24"/>
        </w:rPr>
        <w:t>Neuman IM, Shell DF, Major LJ, Workman TA (2006) Use of policy, education, and enforcement to reduce binge drinking among university s</w:t>
      </w:r>
      <w:r w:rsidR="00E94C2D">
        <w:rPr>
          <w:sz w:val="24"/>
          <w:szCs w:val="24"/>
        </w:rPr>
        <w:t>tudents: t</w:t>
      </w:r>
      <w:r>
        <w:rPr>
          <w:sz w:val="24"/>
          <w:szCs w:val="24"/>
        </w:rPr>
        <w:t>he NU Directions project. The International Journal of Drug Policy</w:t>
      </w:r>
      <w:r w:rsidR="00E94C2D">
        <w:rPr>
          <w:sz w:val="24"/>
          <w:szCs w:val="24"/>
        </w:rPr>
        <w:t xml:space="preserve"> 17:339-349</w:t>
      </w:r>
    </w:p>
    <w:p w14:paraId="45583996" w14:textId="1D66C266" w:rsidR="000A570B" w:rsidRDefault="000A570B" w:rsidP="00FC1116">
      <w:pPr>
        <w:rPr>
          <w:sz w:val="24"/>
          <w:szCs w:val="24"/>
        </w:rPr>
      </w:pPr>
      <w:r>
        <w:rPr>
          <w:sz w:val="24"/>
          <w:szCs w:val="24"/>
        </w:rPr>
        <w:t>Wechsler H, Nelson TF (2008) What we have learned from the Harvard School of Public Health College Alcohol Study: focusing attention on college student alcohol consumption and the environmental conditions that promote it. Journal of Studies on Alcohol and Drugs 69(4):481-490</w:t>
      </w:r>
    </w:p>
    <w:p w14:paraId="5A6C9F64" w14:textId="41F45694" w:rsidR="00E94C2D" w:rsidRDefault="00E94C2D" w:rsidP="00FC1116">
      <w:pPr>
        <w:rPr>
          <w:sz w:val="24"/>
          <w:szCs w:val="24"/>
        </w:rPr>
      </w:pPr>
      <w:r>
        <w:rPr>
          <w:sz w:val="24"/>
          <w:szCs w:val="24"/>
        </w:rPr>
        <w:t>White AM (2017) Commentary on Patrick and colleagues: high intensity drinking among young adults in the United States: prevalence, frequency, and developmental change. Alcoholism: Clinical and Experimental Research 41</w:t>
      </w:r>
      <w:r w:rsidR="000A570B">
        <w:rPr>
          <w:sz w:val="24"/>
          <w:szCs w:val="24"/>
        </w:rPr>
        <w:t>(2)</w:t>
      </w:r>
      <w:r>
        <w:rPr>
          <w:sz w:val="24"/>
          <w:szCs w:val="24"/>
        </w:rPr>
        <w:t>:270-274</w:t>
      </w:r>
    </w:p>
    <w:p w14:paraId="038EF411" w14:textId="77777777" w:rsidR="00403B24" w:rsidRPr="00BC3077" w:rsidRDefault="00403B24" w:rsidP="00BC3077">
      <w:pPr>
        <w:rPr>
          <w:sz w:val="24"/>
          <w:szCs w:val="24"/>
        </w:rPr>
      </w:pPr>
    </w:p>
    <w:sectPr w:rsidR="00403B24" w:rsidRPr="00BC307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D36F7F" w14:textId="77777777" w:rsidR="005C1B93" w:rsidRDefault="005C1B93" w:rsidP="001D3BB5">
      <w:pPr>
        <w:spacing w:after="0" w:line="240" w:lineRule="auto"/>
      </w:pPr>
      <w:r>
        <w:separator/>
      </w:r>
    </w:p>
  </w:endnote>
  <w:endnote w:type="continuationSeparator" w:id="0">
    <w:p w14:paraId="5C31BC6A" w14:textId="77777777" w:rsidR="005C1B93" w:rsidRDefault="005C1B93" w:rsidP="001D3B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0000000000000000000"/>
    <w:charset w:val="80"/>
    <w:family w:val="roman"/>
    <w:notTrueType/>
    <w:pitch w:val="default"/>
  </w:font>
  <w:font w:name="Lucida Grande">
    <w:altName w:val="Arial"/>
    <w:charset w:val="00"/>
    <w:family w:val="auto"/>
    <w:pitch w:val="variable"/>
    <w:sig w:usb0="00000000" w:usb1="5000A1FF" w:usb2="00000000" w:usb3="00000000" w:csb0="000001B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1BD6E" w14:textId="77777777" w:rsidR="00FC1116" w:rsidRDefault="00FC1116">
    <w:pPr>
      <w:pStyle w:val="Footer"/>
    </w:pPr>
    <w:r>
      <w:rPr>
        <w:noProof/>
      </w:rPr>
      <mc:AlternateContent>
        <mc:Choice Requires="wpg">
          <w:drawing>
            <wp:anchor distT="0" distB="0" distL="114300" distR="114300" simplePos="0" relativeHeight="251662336" behindDoc="0" locked="0" layoutInCell="1" allowOverlap="1" wp14:anchorId="351552F5" wp14:editId="0E1C5321">
              <wp:simplePos x="0" y="0"/>
              <wp:positionH relativeFrom="page">
                <wp:align>left</wp:align>
              </wp:positionH>
              <wp:positionV relativeFrom="bottomMargin">
                <wp:align>center</wp:align>
              </wp:positionV>
              <wp:extent cx="5943600" cy="274320"/>
              <wp:effectExtent l="0" t="0" r="0" b="0"/>
              <wp:wrapNone/>
              <wp:docPr id="155" name="Group 155"/>
              <wp:cNvGraphicFramePr/>
              <a:graphic xmlns:a="http://schemas.openxmlformats.org/drawingml/2006/main">
                <a:graphicData uri="http://schemas.microsoft.com/office/word/2010/wordprocessingGroup">
                  <wpg:wgp>
                    <wpg:cNvGrpSpPr/>
                    <wpg:grpSpPr>
                      <a:xfrm>
                        <a:off x="0" y="0"/>
                        <a:ext cx="5943600" cy="274320"/>
                        <a:chOff x="0" y="0"/>
                        <a:chExt cx="5943600" cy="274320"/>
                      </a:xfrm>
                    </wpg:grpSpPr>
                    <wps:wsp>
                      <wps:cNvPr id="156" name="Rectangle 156"/>
                      <wps:cNvSpPr/>
                      <wps:spPr>
                        <a:xfrm>
                          <a:off x="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 Box 157"/>
                      <wps:cNvSpPr txBox="1"/>
                      <wps:spPr>
                        <a:xfrm>
                          <a:off x="228600" y="0"/>
                          <a:ext cx="5353050" cy="252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F045C3" w14:textId="77777777" w:rsidR="00FC1116" w:rsidRDefault="001F1771">
                            <w:pPr>
                              <w:pStyle w:val="Footer"/>
                              <w:tabs>
                                <w:tab w:val="clear" w:pos="4680"/>
                                <w:tab w:val="clear" w:pos="9360"/>
                              </w:tabs>
                              <w:rPr>
                                <w:caps/>
                                <w:color w:val="808080" w:themeColor="background1" w:themeShade="80"/>
                                <w:sz w:val="20"/>
                                <w:szCs w:val="20"/>
                              </w:rPr>
                            </w:pPr>
                            <w:sdt>
                              <w:sdtPr>
                                <w:rPr>
                                  <w:color w:val="808080" w:themeColor="background1" w:themeShade="80"/>
                                  <w:sz w:val="20"/>
                                  <w:szCs w:val="20"/>
                                </w:rPr>
                                <w:alias w:val="Author"/>
                                <w:tag w:val=""/>
                                <w:id w:val="-1526854594"/>
                                <w:dataBinding w:prefixMappings="xmlns:ns0='http://purl.org/dc/elements/1.1/' xmlns:ns1='http://schemas.openxmlformats.org/package/2006/metadata/core-properties' " w:xpath="/ns1:coreProperties[1]/ns0:creator[1]" w:storeItemID="{6C3C8BC8-F283-45AE-878A-BAB7291924A1}"/>
                                <w:text/>
                              </w:sdtPr>
                              <w:sdtEndPr/>
                              <w:sdtContent>
                                <w:r w:rsidR="00FC1116">
                                  <w:rPr>
                                    <w:color w:val="808080" w:themeColor="background1" w:themeShade="80"/>
                                    <w:sz w:val="20"/>
                                    <w:szCs w:val="20"/>
                                  </w:rPr>
                                  <w:t>March 2017</w:t>
                                </w:r>
                              </w:sdtContent>
                            </w:sdt>
                            <w:r w:rsidR="00FC1116">
                              <w:rPr>
                                <w:caps/>
                                <w:color w:val="808080" w:themeColor="background1" w:themeShade="80"/>
                                <w:sz w:val="20"/>
                                <w:szCs w:val="20"/>
                              </w:rPr>
                              <w:t> | </w:t>
                            </w:r>
                            <w:sdt>
                              <w:sdtPr>
                                <w:rPr>
                                  <w:caps/>
                                  <w:color w:val="808080" w:themeColor="background1" w:themeShade="80"/>
                                  <w:sz w:val="20"/>
                                  <w:szCs w:val="20"/>
                                </w:rPr>
                                <w:alias w:val="School"/>
                                <w:tag w:val="School"/>
                                <w:id w:val="-28952311"/>
                                <w:dataBinding w:prefixMappings="xmlns:ns0='http://schemas.openxmlformats.org/officeDocument/2006/extended-properties' " w:xpath="/ns0:Properties[1]/ns0:Company[1]" w:storeItemID="{6668398D-A668-4E3E-A5EB-62B293D839F1}"/>
                                <w:text/>
                              </w:sdtPr>
                              <w:sdtEndPr/>
                              <w:sdtContent>
                                <w:r w:rsidR="00FC1116">
                                  <w:rPr>
                                    <w:caps/>
                                    <w:color w:val="808080" w:themeColor="background1" w:themeShade="80"/>
                                    <w:sz w:val="20"/>
                                    <w:szCs w:val="20"/>
                                  </w:rPr>
                                  <w:t>University of Nebraska-Lincoln</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351552F5" id="Group 155" o:spid="_x0000_s1030" style="position:absolute;margin-left:0;margin-top:0;width:468pt;height:21.6pt;z-index:251662336;mso-position-horizontal:left;mso-position-horizontal-relative:page;mso-position-vertical:center;mso-position-vertical-relative:bottom-margin-area" coordsize="59436,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">
              <v:rect id="Rectangle 156" o:spid="_x0000_s1031" style="position:absolute;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" fillcolor="white [3212]" stroked="f" strokeweight="1pt">
                <v:fill opacity="0"/>
              </v:rect>
              <v:shapetype id="_x0000_t202" coordsize="21600,21600" o:spt="202" path="m,l,21600r21600,l21600,xe">
                <v:stroke joinstyle="miter"/>
                <v:path gradientshapeok="t" o:connecttype="rect"/>
              </v:shapetype>
              <v:shape id="Text Box 157" o:spid="_x0000_s1032" type="#_x0000_t202" style="position:absolute;left:2286;width:53530;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" filled="f" stroked="f" strokeweight=".5pt">
                <v:textbox style="mso-fit-shape-to-text:t" inset="0,,0">
                  <w:txbxContent>
                    <w:p w14:paraId="60F045C3" w14:textId="77777777" w:rsidR="00FC1116" w:rsidRDefault="001F1771">
                      <w:pPr>
                        <w:pStyle w:val="Footer"/>
                        <w:tabs>
                          <w:tab w:val="clear" w:pos="4680"/>
                          <w:tab w:val="clear" w:pos="9360"/>
                        </w:tabs>
                        <w:rPr>
                          <w:caps/>
                          <w:color w:val="808080" w:themeColor="background1" w:themeShade="80"/>
                          <w:sz w:val="20"/>
                          <w:szCs w:val="20"/>
                        </w:rPr>
                      </w:pPr>
                      <w:sdt>
                        <w:sdtPr>
                          <w:rPr>
                            <w:color w:val="808080" w:themeColor="background1" w:themeShade="80"/>
                            <w:sz w:val="20"/>
                            <w:szCs w:val="20"/>
                          </w:rPr>
                          <w:alias w:val="Author"/>
                          <w:tag w:val=""/>
                          <w:id w:val="-1526854594"/>
                          <w:dataBinding w:prefixMappings="xmlns:ns0='http://purl.org/dc/elements/1.1/' xmlns:ns1='http://schemas.openxmlformats.org/package/2006/metadata/core-properties' " w:xpath="/ns1:coreProperties[1]/ns0:creator[1]" w:storeItemID="{6C3C8BC8-F283-45AE-878A-BAB7291924A1}"/>
                          <w:text/>
                        </w:sdtPr>
                        <w:sdtEndPr/>
                        <w:sdtContent>
                          <w:r w:rsidR="00FC1116">
                            <w:rPr>
                              <w:color w:val="808080" w:themeColor="background1" w:themeShade="80"/>
                              <w:sz w:val="20"/>
                              <w:szCs w:val="20"/>
                            </w:rPr>
                            <w:t>March 2017</w:t>
                          </w:r>
                        </w:sdtContent>
                      </w:sdt>
                      <w:r w:rsidR="00FC1116">
                        <w:rPr>
                          <w:caps/>
                          <w:color w:val="808080" w:themeColor="background1" w:themeShade="80"/>
                          <w:sz w:val="20"/>
                          <w:szCs w:val="20"/>
                        </w:rPr>
                        <w:t> | </w:t>
                      </w:r>
                      <w:sdt>
                        <w:sdtPr>
                          <w:rPr>
                            <w:caps/>
                            <w:color w:val="808080" w:themeColor="background1" w:themeShade="80"/>
                            <w:sz w:val="20"/>
                            <w:szCs w:val="20"/>
                          </w:rPr>
                          <w:alias w:val="School"/>
                          <w:tag w:val="School"/>
                          <w:id w:val="-28952311"/>
                          <w:dataBinding w:prefixMappings="xmlns:ns0='http://schemas.openxmlformats.org/officeDocument/2006/extended-properties' " w:xpath="/ns0:Properties[1]/ns0:Company[1]" w:storeItemID="{6668398D-A668-4E3E-A5EB-62B293D839F1}"/>
                          <w:text/>
                        </w:sdtPr>
                        <w:sdtEndPr/>
                        <w:sdtContent>
                          <w:r w:rsidR="00FC1116">
                            <w:rPr>
                              <w:caps/>
                              <w:color w:val="808080" w:themeColor="background1" w:themeShade="80"/>
                              <w:sz w:val="20"/>
                              <w:szCs w:val="20"/>
                            </w:rPr>
                            <w:t>University of Nebraska-Lincoln</w:t>
                          </w:r>
                        </w:sdtContent>
                      </w:sdt>
                    </w:p>
                  </w:txbxContent>
                </v:textbox>
              </v:shape>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F769F6" w14:textId="77777777" w:rsidR="005C1B93" w:rsidRDefault="005C1B93" w:rsidP="001D3BB5">
      <w:pPr>
        <w:spacing w:after="0" w:line="240" w:lineRule="auto"/>
      </w:pPr>
      <w:r>
        <w:separator/>
      </w:r>
    </w:p>
  </w:footnote>
  <w:footnote w:type="continuationSeparator" w:id="0">
    <w:p w14:paraId="4E7CD84F" w14:textId="77777777" w:rsidR="005C1B93" w:rsidRDefault="005C1B93" w:rsidP="001D3B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DBFFB6" w14:textId="77777777" w:rsidR="00FC1116" w:rsidRDefault="00FC1116">
    <w:pPr>
      <w:pStyle w:val="Header"/>
    </w:pPr>
    <w:r>
      <w:rPr>
        <w:noProof/>
      </w:rPr>
      <mc:AlternateContent>
        <mc:Choice Requires="wps">
          <w:drawing>
            <wp:anchor distT="0" distB="0" distL="114300" distR="114300" simplePos="0" relativeHeight="251660288" behindDoc="0" locked="0" layoutInCell="0" allowOverlap="1" wp14:anchorId="781049B3" wp14:editId="23E84B0B">
              <wp:simplePos x="0" y="0"/>
              <wp:positionH relativeFrom="margin">
                <wp:align>right</wp:align>
              </wp:positionH>
              <wp:positionV relativeFrom="topMargin">
                <wp:posOffset>381000</wp:posOffset>
              </wp:positionV>
              <wp:extent cx="5943600" cy="444500"/>
              <wp:effectExtent l="0" t="0" r="0" b="1270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445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A5679D9" w14:textId="77777777" w:rsidR="00FC1116" w:rsidRDefault="00FC1116" w:rsidP="001D3BB5">
                          <w:pPr>
                            <w:spacing w:after="0" w:line="240" w:lineRule="auto"/>
                            <w:jc w:val="right"/>
                            <w:rPr>
                              <w:noProof/>
                            </w:rPr>
                          </w:pPr>
                          <w:r>
                            <w:rPr>
                              <w:noProof/>
                            </w:rPr>
                            <w:t>2017 Campus-Community Task Force on High-Risk Drinking</w:t>
                          </w:r>
                        </w:p>
                        <w:p w14:paraId="128D7757" w14:textId="77777777" w:rsidR="00FC1116" w:rsidRDefault="00FC1116" w:rsidP="001D3BB5">
                          <w:pPr>
                            <w:spacing w:after="0" w:line="240" w:lineRule="auto"/>
                            <w:jc w:val="right"/>
                            <w:rPr>
                              <w:noProof/>
                            </w:rPr>
                          </w:pPr>
                          <w:r>
                            <w:rPr>
                              <w:noProof/>
                            </w:rPr>
                            <w:t>Briefing Report</w:t>
                          </w:r>
                        </w:p>
                      </w:txbxContent>
                    </wps:txbx>
                    <wps:bodyPr rot="0" vert="horz" wrap="square" lIns="91440" tIns="0" rIns="91440" bIns="0" anchor="ctr" anchorCtr="0" upright="1">
                      <a:noAutofit/>
                    </wps:bodyPr>
                  </wps:wsp>
                </a:graphicData>
              </a:graphic>
              <wp14:sizeRelH relativeFrom="margin">
                <wp14:pctWidth>100000</wp14:pctWidth>
              </wp14:sizeRelH>
              <wp14:sizeRelV relativeFrom="page">
                <wp14:pctHeight>0</wp14:pctHeight>
              </wp14:sizeRelV>
            </wp:anchor>
          </w:drawing>
        </mc:Choice>
        <mc:Fallback>
          <w:pict>
            <v:shapetype w14:anchorId="781049B3" id="_x0000_t202" coordsize="21600,21600" o:spt="202" path="m,l,21600r21600,l21600,xe">
              <v:stroke joinstyle="miter"/>
              <v:path gradientshapeok="t" o:connecttype="rect"/>
            </v:shapetype>
            <v:shape id="Text Box 220" o:spid="_x0000_s1028" type="#_x0000_t202" style="position:absolute;margin-left:416.8pt;margin-top:30pt;width:468pt;height:35pt;z-index:251660288;visibility:visible;mso-wrap-style:square;mso-width-percent:1000;mso-height-percent:0;mso-wrap-distance-left:9pt;mso-wrap-distance-top:0;mso-wrap-distance-right:9pt;mso-wrap-distance-bottom:0;mso-position-horizontal:right;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" o:allowincell="f" filled="f" stroked="f">
              <v:textbox inset=",0,,0">
                <w:txbxContent>
                  <w:p w14:paraId="6A5679D9" w14:textId="77777777" w:rsidR="00FC1116" w:rsidRDefault="00FC1116" w:rsidP="001D3BB5">
                    <w:pPr>
                      <w:spacing w:after="0" w:line="240" w:lineRule="auto"/>
                      <w:jc w:val="right"/>
                      <w:rPr>
                        <w:noProof/>
                      </w:rPr>
                    </w:pPr>
                    <w:r>
                      <w:rPr>
                        <w:noProof/>
                      </w:rPr>
                      <w:t>2017 Campus-Community Task Force on High-Risk Drinking</w:t>
                    </w:r>
                  </w:p>
                  <w:p w14:paraId="128D7757" w14:textId="77777777" w:rsidR="00FC1116" w:rsidRDefault="00FC1116" w:rsidP="001D3BB5">
                    <w:pPr>
                      <w:spacing w:after="0" w:line="240" w:lineRule="auto"/>
                      <w:jc w:val="right"/>
                      <w:rPr>
                        <w:noProof/>
                      </w:rPr>
                    </w:pPr>
                    <w:r>
                      <w:rPr>
                        <w:noProof/>
                      </w:rPr>
                      <w:t>Briefing Report</w:t>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0" allowOverlap="1" wp14:anchorId="2193B7F2" wp14:editId="3B047550">
              <wp:simplePos x="0" y="0"/>
              <wp:positionH relativeFrom="page">
                <wp:align>right</wp:align>
              </wp:positionH>
              <wp:positionV relativeFrom="topMargin">
                <wp:align>center</wp:align>
              </wp:positionV>
              <wp:extent cx="911860" cy="170815"/>
              <wp:effectExtent l="0" t="0" r="0" b="635"/>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C00000"/>
                      </a:solidFill>
                      <a:ln>
                        <a:noFill/>
                      </a:ln>
                    </wps:spPr>
                    <wps:txbx>
                      <w:txbxContent>
                        <w:p w14:paraId="11D21EE1" w14:textId="5A9DF47B" w:rsidR="00FC1116" w:rsidRDefault="00FC1116">
                          <w:pPr>
                            <w:spacing w:after="0" w:line="240" w:lineRule="auto"/>
                            <w:rPr>
                              <w:color w:val="FFFFFF" w:themeColor="background1"/>
                            </w:rPr>
                          </w:pPr>
                          <w:r>
                            <w:fldChar w:fldCharType="begin"/>
                          </w:r>
                          <w:r>
                            <w:instrText xml:space="preserve"> PAGE   \* MERGEFORMAT </w:instrText>
                          </w:r>
                          <w:r>
                            <w:fldChar w:fldCharType="separate"/>
                          </w:r>
                          <w:r w:rsidR="001F1771" w:rsidRPr="001F1771">
                            <w:rPr>
                              <w:noProof/>
                              <w:color w:val="FFFFFF" w:themeColor="background1"/>
                            </w:rPr>
                            <w:t>2</w:t>
                          </w:r>
                          <w:r>
                            <w:rPr>
                              <w:noProof/>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2193B7F2" id="Text Box 221" o:spid="_x0000_s1029" type="#_x0000_t202" style="position:absolute;margin-left:20.6pt;margin-top:0;width:71.8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" o:allowincell="f" fillcolor="#c00000" stroked="f">
              <v:textbox style="mso-fit-shape-to-text:t" inset=",0,,0">
                <w:txbxContent>
                  <w:p w14:paraId="11D21EE1" w14:textId="5A9DF47B" w:rsidR="00FC1116" w:rsidRDefault="00FC1116">
                    <w:pPr>
                      <w:spacing w:after="0" w:line="240" w:lineRule="auto"/>
                      <w:rPr>
                        <w:color w:val="FFFFFF" w:themeColor="background1"/>
                      </w:rPr>
                    </w:pPr>
                    <w:r>
                      <w:fldChar w:fldCharType="begin"/>
                    </w:r>
                    <w:r>
                      <w:instrText xml:space="preserve"> PAGE   \* MERGEFORMAT </w:instrText>
                    </w:r>
                    <w:r>
                      <w:fldChar w:fldCharType="separate"/>
                    </w:r>
                    <w:r w:rsidR="001F1771" w:rsidRPr="001F1771">
                      <w:rPr>
                        <w:noProof/>
                        <w:color w:val="FFFFFF" w:themeColor="background1"/>
                      </w:rPr>
                      <w:t>2</w:t>
                    </w:r>
                    <w:r>
                      <w:rPr>
                        <w:noProof/>
                        <w:color w:val="FFFFFF" w:themeColor="background1"/>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F538B"/>
    <w:multiLevelType w:val="hybridMultilevel"/>
    <w:tmpl w:val="6DFE1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3BB5"/>
    <w:rsid w:val="00023087"/>
    <w:rsid w:val="000A570B"/>
    <w:rsid w:val="0010258E"/>
    <w:rsid w:val="00157FC5"/>
    <w:rsid w:val="00174654"/>
    <w:rsid w:val="001A045D"/>
    <w:rsid w:val="001B2402"/>
    <w:rsid w:val="001B2A02"/>
    <w:rsid w:val="001D3BB5"/>
    <w:rsid w:val="001F1771"/>
    <w:rsid w:val="002478AA"/>
    <w:rsid w:val="0030408E"/>
    <w:rsid w:val="00312083"/>
    <w:rsid w:val="003715CC"/>
    <w:rsid w:val="003A5B4D"/>
    <w:rsid w:val="00403B24"/>
    <w:rsid w:val="00412113"/>
    <w:rsid w:val="00465B72"/>
    <w:rsid w:val="00483CCE"/>
    <w:rsid w:val="00583F40"/>
    <w:rsid w:val="005C1B93"/>
    <w:rsid w:val="005C6173"/>
    <w:rsid w:val="00605372"/>
    <w:rsid w:val="00656B5B"/>
    <w:rsid w:val="00686399"/>
    <w:rsid w:val="006B7EEC"/>
    <w:rsid w:val="0071171C"/>
    <w:rsid w:val="00795D1B"/>
    <w:rsid w:val="007B634B"/>
    <w:rsid w:val="007D7270"/>
    <w:rsid w:val="00843CE8"/>
    <w:rsid w:val="008444B0"/>
    <w:rsid w:val="0089651E"/>
    <w:rsid w:val="009517F6"/>
    <w:rsid w:val="00977727"/>
    <w:rsid w:val="00987B26"/>
    <w:rsid w:val="00A12706"/>
    <w:rsid w:val="00A71105"/>
    <w:rsid w:val="00AA3443"/>
    <w:rsid w:val="00AC08A4"/>
    <w:rsid w:val="00AF0B73"/>
    <w:rsid w:val="00BA6C3A"/>
    <w:rsid w:val="00BC3077"/>
    <w:rsid w:val="00BD65CF"/>
    <w:rsid w:val="00C263F5"/>
    <w:rsid w:val="00C871D2"/>
    <w:rsid w:val="00D72476"/>
    <w:rsid w:val="00E0288C"/>
    <w:rsid w:val="00E74592"/>
    <w:rsid w:val="00E94C2D"/>
    <w:rsid w:val="00EC5ECA"/>
    <w:rsid w:val="00F1483D"/>
    <w:rsid w:val="00F213DE"/>
    <w:rsid w:val="00FC11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9D1D232"/>
  <w15:docId w15:val="{5171698B-D8DD-45B8-8919-A991AC9F57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3BB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3BB5"/>
  </w:style>
  <w:style w:type="paragraph" w:styleId="Footer">
    <w:name w:val="footer"/>
    <w:basedOn w:val="Normal"/>
    <w:link w:val="FooterChar"/>
    <w:uiPriority w:val="99"/>
    <w:unhideWhenUsed/>
    <w:rsid w:val="001D3B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3BB5"/>
  </w:style>
  <w:style w:type="table" w:styleId="TableGrid">
    <w:name w:val="Table Grid"/>
    <w:basedOn w:val="TableNormal"/>
    <w:uiPriority w:val="39"/>
    <w:rsid w:val="00656B5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444B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8444B0"/>
    <w:rPr>
      <w:rFonts w:ascii="Lucida Grande" w:hAnsi="Lucida Grande"/>
      <w:sz w:val="18"/>
      <w:szCs w:val="18"/>
    </w:rPr>
  </w:style>
  <w:style w:type="paragraph" w:styleId="ListParagraph">
    <w:name w:val="List Paragraph"/>
    <w:basedOn w:val="Normal"/>
    <w:uiPriority w:val="34"/>
    <w:qFormat/>
    <w:rsid w:val="005C617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chart" Target="charts/chart5.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chart" Target="charts/chart1.xml"/><Relationship Id="rId12" Type="http://schemas.openxmlformats.org/officeDocument/2006/relationships/chart" Target="charts/chart4.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1.png"/><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chart" Target="charts/chart6.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major1\AppData\Local\Box\Box%20Edit\Documents\o4PrklvAFUqi4r6IrNBgoQ==\2015-2016%20LDD.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lmajor1\AppData\Local\Box\Box%20Edit\Documents\WdDP2nzFl0uEb8nuUuyP5A==\2013-2014%20violation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lmajor1\AppData\Local\Box\Box%20Edit\Documents\Xer6olLqmUWDIm4+X6Cy+Q==\Wild%20Party%20Complaints%202005%20-%20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University of Nebraska-Lincoln (All</a:t>
            </a:r>
            <a:r>
              <a:rPr lang="en-US" baseline="0"/>
              <a:t> Students)</a:t>
            </a:r>
            <a:endParaRPr lang="en-US"/>
          </a:p>
          <a:p>
            <a:pPr>
              <a:defRPr sz="1400" b="0" i="0" u="none" strike="noStrike" kern="1200" spc="0" baseline="0">
                <a:solidFill>
                  <a:schemeClr val="tx1">
                    <a:lumMod val="65000"/>
                    <a:lumOff val="35000"/>
                  </a:schemeClr>
                </a:solidFill>
                <a:latin typeface="+mn-lt"/>
                <a:ea typeface="+mn-ea"/>
                <a:cs typeface="+mn-cs"/>
              </a:defRPr>
            </a:pPr>
            <a:r>
              <a:rPr lang="en-US"/>
              <a:t>Binge Rate 1993</a:t>
            </a:r>
            <a:r>
              <a:rPr lang="en-US" baseline="0"/>
              <a:t> - 2015</a:t>
            </a:r>
            <a:endParaRPr lang="en-US"/>
          </a:p>
        </c:rich>
      </c:tx>
      <c:layout/>
      <c:overlay val="0"/>
      <c:spPr>
        <a:noFill/>
        <a:ln>
          <a:noFill/>
        </a:ln>
        <a:effectLst/>
      </c:spPr>
    </c:title>
    <c:autoTitleDeleted val="0"/>
    <c:plotArea>
      <c:layout/>
      <c:lineChart>
        <c:grouping val="standard"/>
        <c:varyColors val="0"/>
        <c:ser>
          <c:idx val="0"/>
          <c:order val="0"/>
          <c:tx>
            <c:v>Binge Rate</c:v>
          </c:tx>
          <c:spPr>
            <a:effectLst/>
          </c:spPr>
          <c:marker>
            <c:symbol val="none"/>
          </c:marker>
          <c:trendline>
            <c:spPr>
              <a:ln w="19050" cap="rnd">
                <a:solidFill>
                  <a:schemeClr val="accent1"/>
                </a:solidFill>
                <a:prstDash val="sysDot"/>
              </a:ln>
              <a:effectLst/>
            </c:spPr>
            <c:trendlineType val="linear"/>
            <c:dispRSqr val="0"/>
            <c:dispEq val="0"/>
          </c:trendline>
          <c:cat>
            <c:numRef>
              <c:f>Sheet1!$A$6:$N$6</c:f>
              <c:numCache>
                <c:formatCode>General</c:formatCode>
                <c:ptCount val="14"/>
                <c:pt idx="0">
                  <c:v>1993</c:v>
                </c:pt>
                <c:pt idx="1">
                  <c:v>1997</c:v>
                </c:pt>
                <c:pt idx="2">
                  <c:v>1999</c:v>
                </c:pt>
                <c:pt idx="3">
                  <c:v>2000</c:v>
                </c:pt>
                <c:pt idx="4">
                  <c:v>2001</c:v>
                </c:pt>
                <c:pt idx="5">
                  <c:v>2002</c:v>
                </c:pt>
                <c:pt idx="6">
                  <c:v>2003</c:v>
                </c:pt>
                <c:pt idx="7">
                  <c:v>2005</c:v>
                </c:pt>
                <c:pt idx="8">
                  <c:v>2006</c:v>
                </c:pt>
                <c:pt idx="9">
                  <c:v>2008</c:v>
                </c:pt>
                <c:pt idx="10">
                  <c:v>2010</c:v>
                </c:pt>
                <c:pt idx="11">
                  <c:v>2012</c:v>
                </c:pt>
                <c:pt idx="12">
                  <c:v>2014</c:v>
                </c:pt>
                <c:pt idx="13">
                  <c:v>2015</c:v>
                </c:pt>
              </c:numCache>
            </c:numRef>
          </c:cat>
          <c:val>
            <c:numRef>
              <c:f>Sheet1!$A$7:$N$7</c:f>
              <c:numCache>
                <c:formatCode>General</c:formatCode>
                <c:ptCount val="14"/>
                <c:pt idx="0">
                  <c:v>61.6</c:v>
                </c:pt>
                <c:pt idx="1">
                  <c:v>62</c:v>
                </c:pt>
                <c:pt idx="2">
                  <c:v>56.8</c:v>
                </c:pt>
                <c:pt idx="3">
                  <c:v>55.3</c:v>
                </c:pt>
                <c:pt idx="4">
                  <c:v>55.6</c:v>
                </c:pt>
                <c:pt idx="5">
                  <c:v>50.3</c:v>
                </c:pt>
                <c:pt idx="6">
                  <c:v>47</c:v>
                </c:pt>
                <c:pt idx="7">
                  <c:v>41.6</c:v>
                </c:pt>
                <c:pt idx="8">
                  <c:v>43.6</c:v>
                </c:pt>
                <c:pt idx="9">
                  <c:v>45</c:v>
                </c:pt>
                <c:pt idx="10">
                  <c:v>44.6</c:v>
                </c:pt>
                <c:pt idx="11">
                  <c:v>40.700000000000003</c:v>
                </c:pt>
                <c:pt idx="12">
                  <c:v>34.9</c:v>
                </c:pt>
                <c:pt idx="13">
                  <c:v>37.44</c:v>
                </c:pt>
              </c:numCache>
            </c:numRef>
          </c:val>
          <c:smooth val="0"/>
          <c:extLst>
            <c:ext xmlns:c16="http://schemas.microsoft.com/office/drawing/2014/chart" uri="{C3380CC4-5D6E-409C-BE32-E72D297353CC}">
              <c16:uniqueId val="{00000000-2A4B-48B7-9526-20851E0433D4}"/>
            </c:ext>
          </c:extLst>
        </c:ser>
        <c:ser>
          <c:idx val="1"/>
          <c:order val="1"/>
          <c:tx>
            <c:v>Non-Binge Rate</c:v>
          </c:tx>
          <c:spPr>
            <a:effectLst/>
          </c:spPr>
          <c:marker>
            <c:symbol val="none"/>
          </c:marker>
          <c:trendline>
            <c:spPr>
              <a:ln w="19050" cap="rnd">
                <a:solidFill>
                  <a:schemeClr val="accent2"/>
                </a:solidFill>
                <a:prstDash val="sysDot"/>
              </a:ln>
              <a:effectLst/>
            </c:spPr>
            <c:trendlineType val="linear"/>
            <c:dispRSqr val="0"/>
            <c:dispEq val="0"/>
          </c:trendline>
          <c:cat>
            <c:numRef>
              <c:f>Sheet1!$A$6:$N$6</c:f>
              <c:numCache>
                <c:formatCode>General</c:formatCode>
                <c:ptCount val="14"/>
                <c:pt idx="0">
                  <c:v>1993</c:v>
                </c:pt>
                <c:pt idx="1">
                  <c:v>1997</c:v>
                </c:pt>
                <c:pt idx="2">
                  <c:v>1999</c:v>
                </c:pt>
                <c:pt idx="3">
                  <c:v>2000</c:v>
                </c:pt>
                <c:pt idx="4">
                  <c:v>2001</c:v>
                </c:pt>
                <c:pt idx="5">
                  <c:v>2002</c:v>
                </c:pt>
                <c:pt idx="6">
                  <c:v>2003</c:v>
                </c:pt>
                <c:pt idx="7">
                  <c:v>2005</c:v>
                </c:pt>
                <c:pt idx="8">
                  <c:v>2006</c:v>
                </c:pt>
                <c:pt idx="9">
                  <c:v>2008</c:v>
                </c:pt>
                <c:pt idx="10">
                  <c:v>2010</c:v>
                </c:pt>
                <c:pt idx="11">
                  <c:v>2012</c:v>
                </c:pt>
                <c:pt idx="12">
                  <c:v>2014</c:v>
                </c:pt>
                <c:pt idx="13">
                  <c:v>2015</c:v>
                </c:pt>
              </c:numCache>
            </c:numRef>
          </c:cat>
          <c:val>
            <c:numRef>
              <c:f>Sheet1!$A$8:$N$8</c:f>
              <c:numCache>
                <c:formatCode>General</c:formatCode>
                <c:ptCount val="14"/>
                <c:pt idx="0">
                  <c:v>38.4</c:v>
                </c:pt>
                <c:pt idx="1">
                  <c:v>37.9</c:v>
                </c:pt>
                <c:pt idx="2">
                  <c:v>43.1</c:v>
                </c:pt>
                <c:pt idx="3">
                  <c:v>44.7</c:v>
                </c:pt>
                <c:pt idx="4">
                  <c:v>44.4</c:v>
                </c:pt>
                <c:pt idx="5">
                  <c:v>49.7</c:v>
                </c:pt>
                <c:pt idx="6">
                  <c:v>53</c:v>
                </c:pt>
                <c:pt idx="7">
                  <c:v>58.4</c:v>
                </c:pt>
                <c:pt idx="8">
                  <c:v>56.3</c:v>
                </c:pt>
                <c:pt idx="9">
                  <c:v>54.8</c:v>
                </c:pt>
                <c:pt idx="10">
                  <c:v>55.4</c:v>
                </c:pt>
                <c:pt idx="11">
                  <c:v>59.3</c:v>
                </c:pt>
                <c:pt idx="12">
                  <c:v>65.099999999999994</c:v>
                </c:pt>
                <c:pt idx="13">
                  <c:v>62.56</c:v>
                </c:pt>
              </c:numCache>
            </c:numRef>
          </c:val>
          <c:smooth val="0"/>
          <c:extLst>
            <c:ext xmlns:c16="http://schemas.microsoft.com/office/drawing/2014/chart" uri="{C3380CC4-5D6E-409C-BE32-E72D297353CC}">
              <c16:uniqueId val="{00000001-2A4B-48B7-9526-20851E0433D4}"/>
            </c:ext>
          </c:extLst>
        </c:ser>
        <c:dLbls>
          <c:showLegendKey val="0"/>
          <c:showVal val="0"/>
          <c:showCatName val="0"/>
          <c:showSerName val="0"/>
          <c:showPercent val="0"/>
          <c:showBubbleSize val="0"/>
        </c:dLbls>
        <c:smooth val="0"/>
        <c:axId val="2090439656"/>
        <c:axId val="2061535096"/>
      </c:lineChart>
      <c:catAx>
        <c:axId val="2090439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1535096"/>
        <c:crosses val="autoZero"/>
        <c:auto val="1"/>
        <c:lblAlgn val="ctr"/>
        <c:lblOffset val="100"/>
        <c:noMultiLvlLbl val="0"/>
      </c:catAx>
      <c:valAx>
        <c:axId val="2061535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04396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a:noFill/>
    </a:ln>
    <a:effectLst/>
  </c:spPr>
  <c:txPr>
    <a:bodyPr/>
    <a:lstStyle/>
    <a:p>
      <a:pPr>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sz="1100"/>
              <a:t>Drinking</a:t>
            </a:r>
            <a:r>
              <a:rPr lang="en-US" sz="1100" baseline="0"/>
              <a:t> Classification</a:t>
            </a:r>
            <a:r>
              <a:rPr lang="en-US" sz="1100"/>
              <a:t> by Group Affiliation</a:t>
            </a:r>
          </a:p>
          <a:p>
            <a:pPr>
              <a:defRPr/>
            </a:pPr>
            <a:r>
              <a:rPr lang="en-US" sz="1100"/>
              <a:t>2015</a:t>
            </a:r>
            <a:r>
              <a:rPr lang="en-US" sz="1100" baseline="0"/>
              <a:t> Bystander Intervention Survey</a:t>
            </a:r>
            <a:endParaRPr lang="en-US" sz="1100"/>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Sheet1!$A$2</c:f>
              <c:strCache>
                <c:ptCount val="1"/>
                <c:pt idx="0">
                  <c:v>None</c:v>
                </c:pt>
              </c:strCache>
            </c:strRef>
          </c:tx>
          <c:spPr>
            <a:solidFill>
              <a:schemeClr val="accent6"/>
            </a:solidFill>
            <a:ln>
              <a:noFill/>
            </a:ln>
            <a:effectLst/>
          </c:spPr>
          <c:invertIfNegative val="0"/>
          <c:cat>
            <c:strRef>
              <c:f>Sheet1!$B$1:$H$1</c:f>
              <c:strCache>
                <c:ptCount val="7"/>
                <c:pt idx="0">
                  <c:v>RSO</c:v>
                </c:pt>
                <c:pt idx="1">
                  <c:v>Intramural Sport Team</c:v>
                </c:pt>
                <c:pt idx="2">
                  <c:v>Sport Club</c:v>
                </c:pt>
                <c:pt idx="3">
                  <c:v>Fraternity</c:v>
                </c:pt>
                <c:pt idx="4">
                  <c:v>Sorority</c:v>
                </c:pt>
                <c:pt idx="5">
                  <c:v>Faith-Based</c:v>
                </c:pt>
                <c:pt idx="6">
                  <c:v>Other</c:v>
                </c:pt>
              </c:strCache>
            </c:strRef>
          </c:cat>
          <c:val>
            <c:numRef>
              <c:f>Sheet1!$B$2:$H$2</c:f>
              <c:numCache>
                <c:formatCode>General</c:formatCode>
                <c:ptCount val="7"/>
                <c:pt idx="0">
                  <c:v>48</c:v>
                </c:pt>
                <c:pt idx="1">
                  <c:v>42</c:v>
                </c:pt>
                <c:pt idx="2">
                  <c:v>48</c:v>
                </c:pt>
                <c:pt idx="3">
                  <c:v>37</c:v>
                </c:pt>
                <c:pt idx="4">
                  <c:v>28</c:v>
                </c:pt>
                <c:pt idx="5">
                  <c:v>61</c:v>
                </c:pt>
                <c:pt idx="6">
                  <c:v>46</c:v>
                </c:pt>
              </c:numCache>
            </c:numRef>
          </c:val>
          <c:extLst>
            <c:ext xmlns:c16="http://schemas.microsoft.com/office/drawing/2014/chart" uri="{C3380CC4-5D6E-409C-BE32-E72D297353CC}">
              <c16:uniqueId val="{00000000-3017-40DA-BE2E-37DA9B71B0A9}"/>
            </c:ext>
          </c:extLst>
        </c:ser>
        <c:ser>
          <c:idx val="1"/>
          <c:order val="1"/>
          <c:tx>
            <c:strRef>
              <c:f>Sheet1!$A$3</c:f>
              <c:strCache>
                <c:ptCount val="1"/>
                <c:pt idx="0">
                  <c:v>1-2 times</c:v>
                </c:pt>
              </c:strCache>
            </c:strRef>
          </c:tx>
          <c:spPr>
            <a:solidFill>
              <a:schemeClr val="accent5"/>
            </a:solidFill>
            <a:ln>
              <a:noFill/>
            </a:ln>
            <a:effectLst/>
          </c:spPr>
          <c:invertIfNegative val="0"/>
          <c:cat>
            <c:strRef>
              <c:f>Sheet1!$B$1:$H$1</c:f>
              <c:strCache>
                <c:ptCount val="7"/>
                <c:pt idx="0">
                  <c:v>RSO</c:v>
                </c:pt>
                <c:pt idx="1">
                  <c:v>Intramural Sport Team</c:v>
                </c:pt>
                <c:pt idx="2">
                  <c:v>Sport Club</c:v>
                </c:pt>
                <c:pt idx="3">
                  <c:v>Fraternity</c:v>
                </c:pt>
                <c:pt idx="4">
                  <c:v>Sorority</c:v>
                </c:pt>
                <c:pt idx="5">
                  <c:v>Faith-Based</c:v>
                </c:pt>
                <c:pt idx="6">
                  <c:v>Other</c:v>
                </c:pt>
              </c:strCache>
            </c:strRef>
          </c:cat>
          <c:val>
            <c:numRef>
              <c:f>Sheet1!$B$3:$H$3</c:f>
              <c:numCache>
                <c:formatCode>General</c:formatCode>
                <c:ptCount val="7"/>
                <c:pt idx="0">
                  <c:v>24</c:v>
                </c:pt>
                <c:pt idx="1">
                  <c:v>24</c:v>
                </c:pt>
                <c:pt idx="2">
                  <c:v>22</c:v>
                </c:pt>
                <c:pt idx="3">
                  <c:v>33</c:v>
                </c:pt>
                <c:pt idx="4">
                  <c:v>42</c:v>
                </c:pt>
                <c:pt idx="5">
                  <c:v>20</c:v>
                </c:pt>
                <c:pt idx="6">
                  <c:v>25</c:v>
                </c:pt>
              </c:numCache>
            </c:numRef>
          </c:val>
          <c:extLst>
            <c:ext xmlns:c16="http://schemas.microsoft.com/office/drawing/2014/chart" uri="{C3380CC4-5D6E-409C-BE32-E72D297353CC}">
              <c16:uniqueId val="{00000001-3017-40DA-BE2E-37DA9B71B0A9}"/>
            </c:ext>
          </c:extLst>
        </c:ser>
        <c:ser>
          <c:idx val="2"/>
          <c:order val="2"/>
          <c:tx>
            <c:strRef>
              <c:f>Sheet1!$A$4</c:f>
              <c:strCache>
                <c:ptCount val="1"/>
                <c:pt idx="0">
                  <c:v>3-5 times</c:v>
                </c:pt>
              </c:strCache>
            </c:strRef>
          </c:tx>
          <c:spPr>
            <a:solidFill>
              <a:schemeClr val="accent4"/>
            </a:solidFill>
            <a:ln>
              <a:noFill/>
            </a:ln>
            <a:effectLst/>
          </c:spPr>
          <c:invertIfNegative val="0"/>
          <c:cat>
            <c:strRef>
              <c:f>Sheet1!$B$1:$H$1</c:f>
              <c:strCache>
                <c:ptCount val="7"/>
                <c:pt idx="0">
                  <c:v>RSO</c:v>
                </c:pt>
                <c:pt idx="1">
                  <c:v>Intramural Sport Team</c:v>
                </c:pt>
                <c:pt idx="2">
                  <c:v>Sport Club</c:v>
                </c:pt>
                <c:pt idx="3">
                  <c:v>Fraternity</c:v>
                </c:pt>
                <c:pt idx="4">
                  <c:v>Sorority</c:v>
                </c:pt>
                <c:pt idx="5">
                  <c:v>Faith-Based</c:v>
                </c:pt>
                <c:pt idx="6">
                  <c:v>Other</c:v>
                </c:pt>
              </c:strCache>
            </c:strRef>
          </c:cat>
          <c:val>
            <c:numRef>
              <c:f>Sheet1!$B$4:$H$4</c:f>
              <c:numCache>
                <c:formatCode>General</c:formatCode>
                <c:ptCount val="7"/>
                <c:pt idx="0">
                  <c:v>11</c:v>
                </c:pt>
                <c:pt idx="1">
                  <c:v>17</c:v>
                </c:pt>
                <c:pt idx="2">
                  <c:v>11</c:v>
                </c:pt>
                <c:pt idx="3">
                  <c:v>17</c:v>
                </c:pt>
                <c:pt idx="4">
                  <c:v>16</c:v>
                </c:pt>
                <c:pt idx="5">
                  <c:v>8</c:v>
                </c:pt>
                <c:pt idx="6">
                  <c:v>7</c:v>
                </c:pt>
              </c:numCache>
            </c:numRef>
          </c:val>
          <c:extLst>
            <c:ext xmlns:c16="http://schemas.microsoft.com/office/drawing/2014/chart" uri="{C3380CC4-5D6E-409C-BE32-E72D297353CC}">
              <c16:uniqueId val="{00000002-3017-40DA-BE2E-37DA9B71B0A9}"/>
            </c:ext>
          </c:extLst>
        </c:ser>
        <c:ser>
          <c:idx val="3"/>
          <c:order val="3"/>
          <c:tx>
            <c:strRef>
              <c:f>Sheet1!$A$5</c:f>
              <c:strCache>
                <c:ptCount val="1"/>
                <c:pt idx="0">
                  <c:v>6 or more</c:v>
                </c:pt>
              </c:strCache>
            </c:strRef>
          </c:tx>
          <c:spPr>
            <a:solidFill>
              <a:schemeClr val="accent6">
                <a:lumMod val="60000"/>
              </a:schemeClr>
            </a:solidFill>
            <a:ln>
              <a:noFill/>
            </a:ln>
            <a:effectLst/>
          </c:spPr>
          <c:invertIfNegative val="0"/>
          <c:cat>
            <c:strRef>
              <c:f>Sheet1!$B$1:$H$1</c:f>
              <c:strCache>
                <c:ptCount val="7"/>
                <c:pt idx="0">
                  <c:v>RSO</c:v>
                </c:pt>
                <c:pt idx="1">
                  <c:v>Intramural Sport Team</c:v>
                </c:pt>
                <c:pt idx="2">
                  <c:v>Sport Club</c:v>
                </c:pt>
                <c:pt idx="3">
                  <c:v>Fraternity</c:v>
                </c:pt>
                <c:pt idx="4">
                  <c:v>Sorority</c:v>
                </c:pt>
                <c:pt idx="5">
                  <c:v>Faith-Based</c:v>
                </c:pt>
                <c:pt idx="6">
                  <c:v>Other</c:v>
                </c:pt>
              </c:strCache>
            </c:strRef>
          </c:cat>
          <c:val>
            <c:numRef>
              <c:f>Sheet1!$B$5:$H$5</c:f>
              <c:numCache>
                <c:formatCode>General</c:formatCode>
                <c:ptCount val="7"/>
                <c:pt idx="0">
                  <c:v>2</c:v>
                </c:pt>
                <c:pt idx="1">
                  <c:v>2</c:v>
                </c:pt>
                <c:pt idx="2">
                  <c:v>4</c:v>
                </c:pt>
                <c:pt idx="3">
                  <c:v>12</c:v>
                </c:pt>
                <c:pt idx="4">
                  <c:v>4</c:v>
                </c:pt>
                <c:pt idx="5">
                  <c:v>3</c:v>
                </c:pt>
                <c:pt idx="6">
                  <c:v>2</c:v>
                </c:pt>
              </c:numCache>
            </c:numRef>
          </c:val>
          <c:extLst>
            <c:ext xmlns:c16="http://schemas.microsoft.com/office/drawing/2014/chart" uri="{C3380CC4-5D6E-409C-BE32-E72D297353CC}">
              <c16:uniqueId val="{00000003-3017-40DA-BE2E-37DA9B71B0A9}"/>
            </c:ext>
          </c:extLst>
        </c:ser>
        <c:ser>
          <c:idx val="4"/>
          <c:order val="4"/>
          <c:tx>
            <c:strRef>
              <c:f>Sheet1!$A$6</c:f>
              <c:strCache>
                <c:ptCount val="1"/>
                <c:pt idx="0">
                  <c:v>N/A didn't drink in the past two weeks</c:v>
                </c:pt>
              </c:strCache>
            </c:strRef>
          </c:tx>
          <c:spPr>
            <a:solidFill>
              <a:schemeClr val="accent5">
                <a:lumMod val="60000"/>
              </a:schemeClr>
            </a:solidFill>
            <a:ln>
              <a:noFill/>
            </a:ln>
            <a:effectLst/>
          </c:spPr>
          <c:invertIfNegative val="0"/>
          <c:cat>
            <c:strRef>
              <c:f>Sheet1!$B$1:$H$1</c:f>
              <c:strCache>
                <c:ptCount val="7"/>
                <c:pt idx="0">
                  <c:v>RSO</c:v>
                </c:pt>
                <c:pt idx="1">
                  <c:v>Intramural Sport Team</c:v>
                </c:pt>
                <c:pt idx="2">
                  <c:v>Sport Club</c:v>
                </c:pt>
                <c:pt idx="3">
                  <c:v>Fraternity</c:v>
                </c:pt>
                <c:pt idx="4">
                  <c:v>Sorority</c:v>
                </c:pt>
                <c:pt idx="5">
                  <c:v>Faith-Based</c:v>
                </c:pt>
                <c:pt idx="6">
                  <c:v>Other</c:v>
                </c:pt>
              </c:strCache>
            </c:strRef>
          </c:cat>
          <c:val>
            <c:numRef>
              <c:f>Sheet1!$B$6:$H$6</c:f>
              <c:numCache>
                <c:formatCode>General</c:formatCode>
                <c:ptCount val="7"/>
                <c:pt idx="0">
                  <c:v>13</c:v>
                </c:pt>
                <c:pt idx="1">
                  <c:v>14</c:v>
                </c:pt>
                <c:pt idx="2">
                  <c:v>15</c:v>
                </c:pt>
                <c:pt idx="3">
                  <c:v>0</c:v>
                </c:pt>
                <c:pt idx="4">
                  <c:v>10</c:v>
                </c:pt>
                <c:pt idx="5">
                  <c:v>9</c:v>
                </c:pt>
                <c:pt idx="6">
                  <c:v>19</c:v>
                </c:pt>
              </c:numCache>
            </c:numRef>
          </c:val>
          <c:extLst>
            <c:ext xmlns:c16="http://schemas.microsoft.com/office/drawing/2014/chart" uri="{C3380CC4-5D6E-409C-BE32-E72D297353CC}">
              <c16:uniqueId val="{00000004-3017-40DA-BE2E-37DA9B71B0A9}"/>
            </c:ext>
          </c:extLst>
        </c:ser>
        <c:dLbls>
          <c:showLegendKey val="0"/>
          <c:showVal val="0"/>
          <c:showCatName val="0"/>
          <c:showSerName val="0"/>
          <c:showPercent val="0"/>
          <c:showBubbleSize val="0"/>
        </c:dLbls>
        <c:gapWidth val="75"/>
        <c:overlap val="-25"/>
        <c:axId val="2091383640"/>
        <c:axId val="2091387400"/>
      </c:barChart>
      <c:catAx>
        <c:axId val="2091383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387400"/>
        <c:crosses val="autoZero"/>
        <c:auto val="1"/>
        <c:lblAlgn val="ctr"/>
        <c:lblOffset val="100"/>
        <c:noMultiLvlLbl val="0"/>
      </c:catAx>
      <c:valAx>
        <c:axId val="2091387400"/>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138364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noFill/>
    <a:ln w="6350" cap="flat" cmpd="sng" algn="ctr">
      <a:noFill/>
      <a:prstDash val="solid"/>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University of Nebraska-Lincoln</a:t>
            </a:r>
            <a:r>
              <a:rPr lang="en-US" baseline="0"/>
              <a:t> </a:t>
            </a:r>
            <a:endParaRPr lang="en-US"/>
          </a:p>
          <a:p>
            <a:pPr>
              <a:defRPr/>
            </a:pPr>
            <a:r>
              <a:rPr lang="en-US"/>
              <a:t>Drinking Classification by Entering Class</a:t>
            </a:r>
            <a:r>
              <a:rPr lang="en-US" baseline="0"/>
              <a:t> 1997 - 2015 </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c:f>
              <c:strCache>
                <c:ptCount val="1"/>
                <c:pt idx="0">
                  <c:v>Abstainer/Drink, No Binge</c:v>
                </c:pt>
              </c:strCache>
            </c:strRef>
          </c:tx>
          <c:spPr>
            <a:solidFill>
              <a:schemeClr val="accent1"/>
            </a:solidFill>
            <a:ln>
              <a:noFill/>
            </a:ln>
            <a:effectLst/>
          </c:spPr>
          <c:invertIfNegative val="0"/>
          <c:trendline>
            <c:spPr>
              <a:ln w="19050" cap="rnd">
                <a:solidFill>
                  <a:schemeClr val="accent1"/>
                </a:solidFill>
                <a:prstDash val="sysDot"/>
              </a:ln>
              <a:effectLst/>
            </c:spPr>
            <c:trendlineType val="linear"/>
            <c:dispRSqr val="0"/>
            <c:dispEq val="0"/>
          </c:trendline>
          <c:cat>
            <c:numRef>
              <c:f>Sheet1!$A$3:$A$16</c:f>
              <c:numCache>
                <c:formatCode>General</c:formatCode>
                <c:ptCount val="14"/>
                <c:pt idx="0">
                  <c:v>1997</c:v>
                </c:pt>
                <c:pt idx="1">
                  <c:v>1999</c:v>
                </c:pt>
                <c:pt idx="2">
                  <c:v>2001</c:v>
                </c:pt>
                <c:pt idx="3">
                  <c:v>2002</c:v>
                </c:pt>
                <c:pt idx="4">
                  <c:v>2003</c:v>
                </c:pt>
                <c:pt idx="5">
                  <c:v>2004</c:v>
                </c:pt>
                <c:pt idx="6">
                  <c:v>2007</c:v>
                </c:pt>
                <c:pt idx="7">
                  <c:v>2009</c:v>
                </c:pt>
                <c:pt idx="8">
                  <c:v>2010</c:v>
                </c:pt>
                <c:pt idx="9">
                  <c:v>2011</c:v>
                </c:pt>
                <c:pt idx="10">
                  <c:v>2012</c:v>
                </c:pt>
                <c:pt idx="11">
                  <c:v>2013</c:v>
                </c:pt>
                <c:pt idx="12">
                  <c:v>2014</c:v>
                </c:pt>
                <c:pt idx="13">
                  <c:v>2015</c:v>
                </c:pt>
              </c:numCache>
            </c:numRef>
          </c:cat>
          <c:val>
            <c:numRef>
              <c:f>Sheet1!$B$3:$B$16</c:f>
              <c:numCache>
                <c:formatCode>General</c:formatCode>
                <c:ptCount val="14"/>
                <c:pt idx="0">
                  <c:v>42.2</c:v>
                </c:pt>
                <c:pt idx="1">
                  <c:v>42.7</c:v>
                </c:pt>
                <c:pt idx="2">
                  <c:v>46.1</c:v>
                </c:pt>
                <c:pt idx="3">
                  <c:v>57</c:v>
                </c:pt>
                <c:pt idx="4">
                  <c:v>51.6</c:v>
                </c:pt>
                <c:pt idx="5">
                  <c:v>60</c:v>
                </c:pt>
                <c:pt idx="6">
                  <c:v>65.5</c:v>
                </c:pt>
                <c:pt idx="7">
                  <c:v>74</c:v>
                </c:pt>
                <c:pt idx="8">
                  <c:v>77.599999999999994</c:v>
                </c:pt>
                <c:pt idx="9">
                  <c:v>77.599999999999994</c:v>
                </c:pt>
                <c:pt idx="10">
                  <c:v>80.099999999999994</c:v>
                </c:pt>
                <c:pt idx="11">
                  <c:v>79.2</c:v>
                </c:pt>
                <c:pt idx="12">
                  <c:v>79.8</c:v>
                </c:pt>
                <c:pt idx="13">
                  <c:v>81</c:v>
                </c:pt>
              </c:numCache>
            </c:numRef>
          </c:val>
          <c:extLst>
            <c:ext xmlns:c16="http://schemas.microsoft.com/office/drawing/2014/chart" uri="{C3380CC4-5D6E-409C-BE32-E72D297353CC}">
              <c16:uniqueId val="{00000000-FAFF-4DEA-9350-2A4D5E31B744}"/>
            </c:ext>
          </c:extLst>
        </c:ser>
        <c:ser>
          <c:idx val="1"/>
          <c:order val="1"/>
          <c:tx>
            <c:strRef>
              <c:f>Sheet1!$C$2</c:f>
              <c:strCache>
                <c:ptCount val="1"/>
                <c:pt idx="0">
                  <c:v>Infrequent/Frequent Binger</c:v>
                </c:pt>
              </c:strCache>
            </c:strRef>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cat>
            <c:numRef>
              <c:f>Sheet1!$A$3:$A$16</c:f>
              <c:numCache>
                <c:formatCode>General</c:formatCode>
                <c:ptCount val="14"/>
                <c:pt idx="0">
                  <c:v>1997</c:v>
                </c:pt>
                <c:pt idx="1">
                  <c:v>1999</c:v>
                </c:pt>
                <c:pt idx="2">
                  <c:v>2001</c:v>
                </c:pt>
                <c:pt idx="3">
                  <c:v>2002</c:v>
                </c:pt>
                <c:pt idx="4">
                  <c:v>2003</c:v>
                </c:pt>
                <c:pt idx="5">
                  <c:v>2004</c:v>
                </c:pt>
                <c:pt idx="6">
                  <c:v>2007</c:v>
                </c:pt>
                <c:pt idx="7">
                  <c:v>2009</c:v>
                </c:pt>
                <c:pt idx="8">
                  <c:v>2010</c:v>
                </c:pt>
                <c:pt idx="9">
                  <c:v>2011</c:v>
                </c:pt>
                <c:pt idx="10">
                  <c:v>2012</c:v>
                </c:pt>
                <c:pt idx="11">
                  <c:v>2013</c:v>
                </c:pt>
                <c:pt idx="12">
                  <c:v>2014</c:v>
                </c:pt>
                <c:pt idx="13">
                  <c:v>2015</c:v>
                </c:pt>
              </c:numCache>
            </c:numRef>
          </c:cat>
          <c:val>
            <c:numRef>
              <c:f>Sheet1!$C$3:$C$16</c:f>
              <c:numCache>
                <c:formatCode>General</c:formatCode>
                <c:ptCount val="14"/>
                <c:pt idx="0">
                  <c:v>57.8</c:v>
                </c:pt>
                <c:pt idx="1">
                  <c:v>57.3</c:v>
                </c:pt>
                <c:pt idx="2">
                  <c:v>53.9</c:v>
                </c:pt>
                <c:pt idx="3">
                  <c:v>43</c:v>
                </c:pt>
                <c:pt idx="4">
                  <c:v>48.4</c:v>
                </c:pt>
                <c:pt idx="5">
                  <c:v>40</c:v>
                </c:pt>
                <c:pt idx="6">
                  <c:v>34.5</c:v>
                </c:pt>
                <c:pt idx="7">
                  <c:v>26</c:v>
                </c:pt>
                <c:pt idx="8">
                  <c:v>22.4</c:v>
                </c:pt>
                <c:pt idx="9">
                  <c:v>22.4</c:v>
                </c:pt>
                <c:pt idx="10">
                  <c:v>19.899999999999999</c:v>
                </c:pt>
                <c:pt idx="11">
                  <c:v>20.8</c:v>
                </c:pt>
                <c:pt idx="12">
                  <c:v>20.2</c:v>
                </c:pt>
                <c:pt idx="13">
                  <c:v>19</c:v>
                </c:pt>
              </c:numCache>
            </c:numRef>
          </c:val>
          <c:extLst>
            <c:ext xmlns:c16="http://schemas.microsoft.com/office/drawing/2014/chart" uri="{C3380CC4-5D6E-409C-BE32-E72D297353CC}">
              <c16:uniqueId val="{00000001-FAFF-4DEA-9350-2A4D5E31B744}"/>
            </c:ext>
          </c:extLst>
        </c:ser>
        <c:dLbls>
          <c:showLegendKey val="0"/>
          <c:showVal val="0"/>
          <c:showCatName val="0"/>
          <c:showSerName val="0"/>
          <c:showPercent val="0"/>
          <c:showBubbleSize val="0"/>
        </c:dLbls>
        <c:gapWidth val="219"/>
        <c:overlap val="-27"/>
        <c:axId val="2090535512"/>
        <c:axId val="2090538968"/>
      </c:barChart>
      <c:catAx>
        <c:axId val="2090535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0538968"/>
        <c:crosses val="autoZero"/>
        <c:auto val="1"/>
        <c:lblAlgn val="ctr"/>
        <c:lblOffset val="100"/>
        <c:noMultiLvlLbl val="0"/>
      </c:catAx>
      <c:valAx>
        <c:axId val="2090538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053551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UNL</a:t>
            </a:r>
            <a:r>
              <a:rPr lang="en-US" baseline="0"/>
              <a:t> Student </a:t>
            </a:r>
            <a:r>
              <a:rPr lang="en-US"/>
              <a:t>Civil Protective Custody Admissions to the Bridge</a:t>
            </a:r>
            <a:endParaRPr lang="en-US" baseline="0"/>
          </a:p>
          <a:p>
            <a:pPr>
              <a:defRPr/>
            </a:pPr>
            <a:r>
              <a:rPr lang="en-US" baseline="0"/>
              <a:t>Fall 2014, Fall 2015 and Fall 2016</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Sheet1!$K$261</c:f>
              <c:strCache>
                <c:ptCount val="1"/>
                <c:pt idx="0">
                  <c:v>2014</c:v>
                </c:pt>
              </c:strCache>
            </c:strRef>
          </c:tx>
          <c:spPr>
            <a:solidFill>
              <a:schemeClr val="accent6"/>
            </a:solidFill>
            <a:ln>
              <a:noFill/>
            </a:ln>
            <a:effectLst/>
          </c:spPr>
          <c:invertIfNegative val="0"/>
          <c:cat>
            <c:strRef>
              <c:f>Sheet1!$L$260:$T$260</c:f>
              <c:strCache>
                <c:ptCount val="9"/>
                <c:pt idx="0">
                  <c:v>September</c:v>
                </c:pt>
                <c:pt idx="1">
                  <c:v>BAC over .20</c:v>
                </c:pt>
                <c:pt idx="2">
                  <c:v>BAC over .30</c:v>
                </c:pt>
                <c:pt idx="3">
                  <c:v>October</c:v>
                </c:pt>
                <c:pt idx="4">
                  <c:v>BAC over .20</c:v>
                </c:pt>
                <c:pt idx="5">
                  <c:v>BAC over .3</c:v>
                </c:pt>
                <c:pt idx="6">
                  <c:v>November</c:v>
                </c:pt>
                <c:pt idx="7">
                  <c:v>BAC over .20</c:v>
                </c:pt>
                <c:pt idx="8">
                  <c:v>BAC over .3 </c:v>
                </c:pt>
              </c:strCache>
            </c:strRef>
          </c:cat>
          <c:val>
            <c:numRef>
              <c:f>Sheet1!$L$261:$T$261</c:f>
              <c:numCache>
                <c:formatCode>General</c:formatCode>
                <c:ptCount val="9"/>
                <c:pt idx="0">
                  <c:v>38</c:v>
                </c:pt>
                <c:pt idx="1">
                  <c:v>17</c:v>
                </c:pt>
                <c:pt idx="2">
                  <c:v>2</c:v>
                </c:pt>
                <c:pt idx="3">
                  <c:v>19</c:v>
                </c:pt>
                <c:pt idx="4">
                  <c:v>5</c:v>
                </c:pt>
                <c:pt idx="5">
                  <c:v>2</c:v>
                </c:pt>
                <c:pt idx="6">
                  <c:v>23</c:v>
                </c:pt>
                <c:pt idx="7">
                  <c:v>6</c:v>
                </c:pt>
                <c:pt idx="8">
                  <c:v>1</c:v>
                </c:pt>
              </c:numCache>
            </c:numRef>
          </c:val>
          <c:extLst>
            <c:ext xmlns:c16="http://schemas.microsoft.com/office/drawing/2014/chart" uri="{C3380CC4-5D6E-409C-BE32-E72D297353CC}">
              <c16:uniqueId val="{00000000-2B9C-4031-BE0A-648BFF1A903A}"/>
            </c:ext>
          </c:extLst>
        </c:ser>
        <c:ser>
          <c:idx val="1"/>
          <c:order val="1"/>
          <c:tx>
            <c:strRef>
              <c:f>Sheet1!$K$262</c:f>
              <c:strCache>
                <c:ptCount val="1"/>
                <c:pt idx="0">
                  <c:v>2015</c:v>
                </c:pt>
              </c:strCache>
            </c:strRef>
          </c:tx>
          <c:spPr>
            <a:solidFill>
              <a:schemeClr val="accent5"/>
            </a:solidFill>
            <a:ln>
              <a:noFill/>
            </a:ln>
            <a:effectLst/>
          </c:spPr>
          <c:invertIfNegative val="0"/>
          <c:cat>
            <c:strRef>
              <c:f>Sheet1!$L$260:$T$260</c:f>
              <c:strCache>
                <c:ptCount val="9"/>
                <c:pt idx="0">
                  <c:v>September</c:v>
                </c:pt>
                <c:pt idx="1">
                  <c:v>BAC over .20</c:v>
                </c:pt>
                <c:pt idx="2">
                  <c:v>BAC over .30</c:v>
                </c:pt>
                <c:pt idx="3">
                  <c:v>October</c:v>
                </c:pt>
                <c:pt idx="4">
                  <c:v>BAC over .20</c:v>
                </c:pt>
                <c:pt idx="5">
                  <c:v>BAC over .3</c:v>
                </c:pt>
                <c:pt idx="6">
                  <c:v>November</c:v>
                </c:pt>
                <c:pt idx="7">
                  <c:v>BAC over .20</c:v>
                </c:pt>
                <c:pt idx="8">
                  <c:v>BAC over .3 </c:v>
                </c:pt>
              </c:strCache>
            </c:strRef>
          </c:cat>
          <c:val>
            <c:numRef>
              <c:f>Sheet1!$L$262:$T$262</c:f>
              <c:numCache>
                <c:formatCode>General</c:formatCode>
                <c:ptCount val="9"/>
                <c:pt idx="0">
                  <c:v>42</c:v>
                </c:pt>
                <c:pt idx="1">
                  <c:v>18</c:v>
                </c:pt>
                <c:pt idx="2">
                  <c:v>1</c:v>
                </c:pt>
                <c:pt idx="3">
                  <c:v>43</c:v>
                </c:pt>
                <c:pt idx="4">
                  <c:v>22</c:v>
                </c:pt>
                <c:pt idx="5">
                  <c:v>3</c:v>
                </c:pt>
                <c:pt idx="6">
                  <c:v>33</c:v>
                </c:pt>
                <c:pt idx="7">
                  <c:v>19</c:v>
                </c:pt>
                <c:pt idx="8">
                  <c:v>5</c:v>
                </c:pt>
              </c:numCache>
            </c:numRef>
          </c:val>
          <c:extLst>
            <c:ext xmlns:c16="http://schemas.microsoft.com/office/drawing/2014/chart" uri="{C3380CC4-5D6E-409C-BE32-E72D297353CC}">
              <c16:uniqueId val="{00000001-2B9C-4031-BE0A-648BFF1A903A}"/>
            </c:ext>
          </c:extLst>
        </c:ser>
        <c:ser>
          <c:idx val="2"/>
          <c:order val="2"/>
          <c:tx>
            <c:strRef>
              <c:f>Sheet1!$K$263</c:f>
              <c:strCache>
                <c:ptCount val="1"/>
                <c:pt idx="0">
                  <c:v>2016</c:v>
                </c:pt>
              </c:strCache>
            </c:strRef>
          </c:tx>
          <c:spPr>
            <a:solidFill>
              <a:schemeClr val="accent4"/>
            </a:solidFill>
            <a:ln>
              <a:noFill/>
            </a:ln>
            <a:effectLst/>
          </c:spPr>
          <c:invertIfNegative val="0"/>
          <c:cat>
            <c:strRef>
              <c:f>Sheet1!$L$260:$T$260</c:f>
              <c:strCache>
                <c:ptCount val="9"/>
                <c:pt idx="0">
                  <c:v>September</c:v>
                </c:pt>
                <c:pt idx="1">
                  <c:v>BAC over .20</c:v>
                </c:pt>
                <c:pt idx="2">
                  <c:v>BAC over .30</c:v>
                </c:pt>
                <c:pt idx="3">
                  <c:v>October</c:v>
                </c:pt>
                <c:pt idx="4">
                  <c:v>BAC over .20</c:v>
                </c:pt>
                <c:pt idx="5">
                  <c:v>BAC over .3</c:v>
                </c:pt>
                <c:pt idx="6">
                  <c:v>November</c:v>
                </c:pt>
                <c:pt idx="7">
                  <c:v>BAC over .20</c:v>
                </c:pt>
                <c:pt idx="8">
                  <c:v>BAC over .3 </c:v>
                </c:pt>
              </c:strCache>
            </c:strRef>
          </c:cat>
          <c:val>
            <c:numRef>
              <c:f>Sheet1!$L$263:$T$263</c:f>
              <c:numCache>
                <c:formatCode>General</c:formatCode>
                <c:ptCount val="9"/>
                <c:pt idx="0">
                  <c:v>60</c:v>
                </c:pt>
                <c:pt idx="1">
                  <c:v>35</c:v>
                </c:pt>
                <c:pt idx="2">
                  <c:v>4</c:v>
                </c:pt>
                <c:pt idx="3">
                  <c:v>51</c:v>
                </c:pt>
                <c:pt idx="4">
                  <c:v>24</c:v>
                </c:pt>
                <c:pt idx="5">
                  <c:v>3</c:v>
                </c:pt>
                <c:pt idx="6">
                  <c:v>47</c:v>
                </c:pt>
                <c:pt idx="7">
                  <c:v>26</c:v>
                </c:pt>
                <c:pt idx="8">
                  <c:v>2</c:v>
                </c:pt>
              </c:numCache>
            </c:numRef>
          </c:val>
          <c:extLst>
            <c:ext xmlns:c16="http://schemas.microsoft.com/office/drawing/2014/chart" uri="{C3380CC4-5D6E-409C-BE32-E72D297353CC}">
              <c16:uniqueId val="{00000002-2B9C-4031-BE0A-648BFF1A903A}"/>
            </c:ext>
          </c:extLst>
        </c:ser>
        <c:dLbls>
          <c:showLegendKey val="0"/>
          <c:showVal val="0"/>
          <c:showCatName val="0"/>
          <c:showSerName val="0"/>
          <c:showPercent val="0"/>
          <c:showBubbleSize val="0"/>
        </c:dLbls>
        <c:gapWidth val="150"/>
        <c:axId val="2090623560"/>
        <c:axId val="2090627256"/>
      </c:barChart>
      <c:catAx>
        <c:axId val="2090623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0627256"/>
        <c:crosses val="autoZero"/>
        <c:auto val="1"/>
        <c:lblAlgn val="ctr"/>
        <c:lblOffset val="100"/>
        <c:noMultiLvlLbl val="0"/>
      </c:catAx>
      <c:valAx>
        <c:axId val="2090627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06235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Alcohol-Related Violations</a:t>
            </a:r>
          </a:p>
          <a:p>
            <a:pPr>
              <a:defRPr sz="1400" b="0" i="0" u="none" strike="noStrike" kern="1200" spc="0" baseline="0">
                <a:solidFill>
                  <a:schemeClr val="tx1">
                    <a:lumMod val="65000"/>
                    <a:lumOff val="35000"/>
                  </a:schemeClr>
                </a:solidFill>
                <a:latin typeface="+mn-lt"/>
                <a:ea typeface="+mn-ea"/>
                <a:cs typeface="+mn-cs"/>
              </a:defRPr>
            </a:pPr>
            <a:r>
              <a:rPr lang="en-US"/>
              <a:t>2013 - 2017 (Through February 2017)</a:t>
            </a:r>
          </a:p>
        </c:rich>
      </c:tx>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'3-year comparison'!$B$2</c:f>
              <c:strCache>
                <c:ptCount val="1"/>
                <c:pt idx="0">
                  <c:v>2013-2014</c:v>
                </c:pt>
              </c:strCache>
            </c:strRef>
          </c:tx>
          <c:spPr>
            <a:solidFill>
              <a:schemeClr val="accent6"/>
            </a:solidFill>
            <a:ln>
              <a:noFill/>
            </a:ln>
            <a:effectLst/>
            <a:sp3d/>
          </c:spPr>
          <c:invertIfNegative val="0"/>
          <c:cat>
            <c:strRef>
              <c:f>'3-year comparison'!$A$3:$A$8</c:f>
              <c:strCache>
                <c:ptCount val="6"/>
                <c:pt idx="0">
                  <c:v>Underage Drinking</c:v>
                </c:pt>
                <c:pt idx="1">
                  <c:v>DUI Related</c:v>
                </c:pt>
                <c:pt idx="2">
                  <c:v>Disorderly House</c:v>
                </c:pt>
                <c:pt idx="3">
                  <c:v>Procuring </c:v>
                </c:pt>
                <c:pt idx="4">
                  <c:v>Other </c:v>
                </c:pt>
                <c:pt idx="5">
                  <c:v>Total </c:v>
                </c:pt>
              </c:strCache>
            </c:strRef>
          </c:cat>
          <c:val>
            <c:numRef>
              <c:f>'3-year comparison'!$B$3:$B$8</c:f>
              <c:numCache>
                <c:formatCode>General</c:formatCode>
                <c:ptCount val="6"/>
                <c:pt idx="0">
                  <c:v>329</c:v>
                </c:pt>
                <c:pt idx="1">
                  <c:v>27</c:v>
                </c:pt>
                <c:pt idx="2">
                  <c:v>27</c:v>
                </c:pt>
                <c:pt idx="3">
                  <c:v>3</c:v>
                </c:pt>
                <c:pt idx="4">
                  <c:v>3</c:v>
                </c:pt>
                <c:pt idx="5">
                  <c:v>389</c:v>
                </c:pt>
              </c:numCache>
            </c:numRef>
          </c:val>
          <c:extLst>
            <c:ext xmlns:c16="http://schemas.microsoft.com/office/drawing/2014/chart" uri="{C3380CC4-5D6E-409C-BE32-E72D297353CC}">
              <c16:uniqueId val="{00000000-3AE1-42BC-B524-2AFA99D93323}"/>
            </c:ext>
          </c:extLst>
        </c:ser>
        <c:ser>
          <c:idx val="1"/>
          <c:order val="1"/>
          <c:tx>
            <c:strRef>
              <c:f>'3-year comparison'!$C$2</c:f>
              <c:strCache>
                <c:ptCount val="1"/>
                <c:pt idx="0">
                  <c:v>2014-2015</c:v>
                </c:pt>
              </c:strCache>
            </c:strRef>
          </c:tx>
          <c:spPr>
            <a:solidFill>
              <a:schemeClr val="accent5"/>
            </a:solidFill>
            <a:ln>
              <a:noFill/>
            </a:ln>
            <a:effectLst/>
            <a:sp3d/>
          </c:spPr>
          <c:invertIfNegative val="0"/>
          <c:cat>
            <c:strRef>
              <c:f>'3-year comparison'!$A$3:$A$8</c:f>
              <c:strCache>
                <c:ptCount val="6"/>
                <c:pt idx="0">
                  <c:v>Underage Drinking</c:v>
                </c:pt>
                <c:pt idx="1">
                  <c:v>DUI Related</c:v>
                </c:pt>
                <c:pt idx="2">
                  <c:v>Disorderly House</c:v>
                </c:pt>
                <c:pt idx="3">
                  <c:v>Procuring </c:v>
                </c:pt>
                <c:pt idx="4">
                  <c:v>Other </c:v>
                </c:pt>
                <c:pt idx="5">
                  <c:v>Total </c:v>
                </c:pt>
              </c:strCache>
            </c:strRef>
          </c:cat>
          <c:val>
            <c:numRef>
              <c:f>'3-year comparison'!$C$3:$C$8</c:f>
              <c:numCache>
                <c:formatCode>General</c:formatCode>
                <c:ptCount val="6"/>
                <c:pt idx="0">
                  <c:v>395</c:v>
                </c:pt>
                <c:pt idx="1">
                  <c:v>60</c:v>
                </c:pt>
                <c:pt idx="2">
                  <c:v>22</c:v>
                </c:pt>
                <c:pt idx="3">
                  <c:v>13</c:v>
                </c:pt>
                <c:pt idx="4">
                  <c:v>2</c:v>
                </c:pt>
                <c:pt idx="5">
                  <c:v>492</c:v>
                </c:pt>
              </c:numCache>
            </c:numRef>
          </c:val>
          <c:extLst>
            <c:ext xmlns:c16="http://schemas.microsoft.com/office/drawing/2014/chart" uri="{C3380CC4-5D6E-409C-BE32-E72D297353CC}">
              <c16:uniqueId val="{00000001-3AE1-42BC-B524-2AFA99D93323}"/>
            </c:ext>
          </c:extLst>
        </c:ser>
        <c:ser>
          <c:idx val="2"/>
          <c:order val="2"/>
          <c:tx>
            <c:strRef>
              <c:f>'3-year comparison'!$D$2</c:f>
              <c:strCache>
                <c:ptCount val="1"/>
                <c:pt idx="0">
                  <c:v>2015-2106</c:v>
                </c:pt>
              </c:strCache>
            </c:strRef>
          </c:tx>
          <c:spPr>
            <a:solidFill>
              <a:schemeClr val="accent4"/>
            </a:solidFill>
            <a:ln>
              <a:noFill/>
            </a:ln>
            <a:effectLst/>
            <a:sp3d/>
          </c:spPr>
          <c:invertIfNegative val="0"/>
          <c:cat>
            <c:strRef>
              <c:f>'3-year comparison'!$A$3:$A$8</c:f>
              <c:strCache>
                <c:ptCount val="6"/>
                <c:pt idx="0">
                  <c:v>Underage Drinking</c:v>
                </c:pt>
                <c:pt idx="1">
                  <c:v>DUI Related</c:v>
                </c:pt>
                <c:pt idx="2">
                  <c:v>Disorderly House</c:v>
                </c:pt>
                <c:pt idx="3">
                  <c:v>Procuring </c:v>
                </c:pt>
                <c:pt idx="4">
                  <c:v>Other </c:v>
                </c:pt>
                <c:pt idx="5">
                  <c:v>Total </c:v>
                </c:pt>
              </c:strCache>
            </c:strRef>
          </c:cat>
          <c:val>
            <c:numRef>
              <c:f>'3-year comparison'!$D$3:$D$8</c:f>
              <c:numCache>
                <c:formatCode>General</c:formatCode>
                <c:ptCount val="6"/>
                <c:pt idx="0">
                  <c:v>377</c:v>
                </c:pt>
                <c:pt idx="1">
                  <c:v>59</c:v>
                </c:pt>
                <c:pt idx="2">
                  <c:v>35</c:v>
                </c:pt>
                <c:pt idx="3">
                  <c:v>2</c:v>
                </c:pt>
                <c:pt idx="4">
                  <c:v>25</c:v>
                </c:pt>
                <c:pt idx="5">
                  <c:v>498</c:v>
                </c:pt>
              </c:numCache>
            </c:numRef>
          </c:val>
          <c:extLst>
            <c:ext xmlns:c16="http://schemas.microsoft.com/office/drawing/2014/chart" uri="{C3380CC4-5D6E-409C-BE32-E72D297353CC}">
              <c16:uniqueId val="{00000002-3AE1-42BC-B524-2AFA99D93323}"/>
            </c:ext>
          </c:extLst>
        </c:ser>
        <c:ser>
          <c:idx val="3"/>
          <c:order val="3"/>
          <c:tx>
            <c:strRef>
              <c:f>'3-year comparison'!$E$2</c:f>
              <c:strCache>
                <c:ptCount val="1"/>
                <c:pt idx="0">
                  <c:v>2016-2017</c:v>
                </c:pt>
              </c:strCache>
            </c:strRef>
          </c:tx>
          <c:spPr>
            <a:solidFill>
              <a:schemeClr val="accent6">
                <a:lumMod val="60000"/>
              </a:schemeClr>
            </a:solidFill>
            <a:ln>
              <a:noFill/>
            </a:ln>
            <a:effectLst/>
            <a:sp3d/>
          </c:spPr>
          <c:invertIfNegative val="0"/>
          <c:cat>
            <c:strRef>
              <c:f>'3-year comparison'!$A$3:$A$8</c:f>
              <c:strCache>
                <c:ptCount val="6"/>
                <c:pt idx="0">
                  <c:v>Underage Drinking</c:v>
                </c:pt>
                <c:pt idx="1">
                  <c:v>DUI Related</c:v>
                </c:pt>
                <c:pt idx="2">
                  <c:v>Disorderly House</c:v>
                </c:pt>
                <c:pt idx="3">
                  <c:v>Procuring </c:v>
                </c:pt>
                <c:pt idx="4">
                  <c:v>Other </c:v>
                </c:pt>
                <c:pt idx="5">
                  <c:v>Total </c:v>
                </c:pt>
              </c:strCache>
            </c:strRef>
          </c:cat>
          <c:val>
            <c:numRef>
              <c:f>'3-year comparison'!$E$3:$E$8</c:f>
              <c:numCache>
                <c:formatCode>General</c:formatCode>
                <c:ptCount val="6"/>
                <c:pt idx="0">
                  <c:v>310</c:v>
                </c:pt>
                <c:pt idx="1">
                  <c:v>43</c:v>
                </c:pt>
                <c:pt idx="2">
                  <c:v>45</c:v>
                </c:pt>
                <c:pt idx="3">
                  <c:v>2</c:v>
                </c:pt>
                <c:pt idx="4">
                  <c:v>18</c:v>
                </c:pt>
                <c:pt idx="5">
                  <c:v>418</c:v>
                </c:pt>
              </c:numCache>
            </c:numRef>
          </c:val>
          <c:extLst>
            <c:ext xmlns:c16="http://schemas.microsoft.com/office/drawing/2014/chart" uri="{C3380CC4-5D6E-409C-BE32-E72D297353CC}">
              <c16:uniqueId val="{00000003-3AE1-42BC-B524-2AFA99D93323}"/>
            </c:ext>
          </c:extLst>
        </c:ser>
        <c:dLbls>
          <c:showLegendKey val="0"/>
          <c:showVal val="0"/>
          <c:showCatName val="0"/>
          <c:showSerName val="0"/>
          <c:showPercent val="0"/>
          <c:showBubbleSize val="0"/>
        </c:dLbls>
        <c:gapWidth val="150"/>
        <c:shape val="box"/>
        <c:axId val="2111835784"/>
        <c:axId val="2113368872"/>
        <c:axId val="0"/>
      </c:bar3DChart>
      <c:catAx>
        <c:axId val="21118357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3368872"/>
        <c:crosses val="autoZero"/>
        <c:auto val="1"/>
        <c:lblAlgn val="ctr"/>
        <c:lblOffset val="100"/>
        <c:noMultiLvlLbl val="0"/>
      </c:catAx>
      <c:valAx>
        <c:axId val="2113368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18357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Wild Party Calls by Dispatch and Repeat Complaints</a:t>
            </a:r>
            <a:r>
              <a:rPr lang="en-US" baseline="0"/>
              <a:t> (citywide)</a:t>
            </a:r>
            <a:endParaRPr lang="en-US"/>
          </a:p>
        </c:rich>
      </c:tx>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Sheet1!$A$2</c:f>
              <c:strCache>
                <c:ptCount val="1"/>
                <c:pt idx="0">
                  <c:v>Dispatched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numRef>
              <c:f>Sheet1!$B$1:$M$1</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Sheet1!$B$2:$M$2</c:f>
              <c:numCache>
                <c:formatCode>General</c:formatCode>
                <c:ptCount val="12"/>
                <c:pt idx="0">
                  <c:v>1862</c:v>
                </c:pt>
                <c:pt idx="1">
                  <c:v>1813</c:v>
                </c:pt>
                <c:pt idx="2">
                  <c:v>1479</c:v>
                </c:pt>
                <c:pt idx="3">
                  <c:v>1238</c:v>
                </c:pt>
                <c:pt idx="4">
                  <c:v>1061</c:v>
                </c:pt>
                <c:pt idx="5">
                  <c:v>877</c:v>
                </c:pt>
                <c:pt idx="6">
                  <c:v>561</c:v>
                </c:pt>
                <c:pt idx="7">
                  <c:v>622</c:v>
                </c:pt>
                <c:pt idx="8">
                  <c:v>558</c:v>
                </c:pt>
                <c:pt idx="9">
                  <c:v>456</c:v>
                </c:pt>
                <c:pt idx="10">
                  <c:v>371</c:v>
                </c:pt>
                <c:pt idx="11">
                  <c:v>417</c:v>
                </c:pt>
              </c:numCache>
            </c:numRef>
          </c:val>
          <c:extLst>
            <c:ext xmlns:c16="http://schemas.microsoft.com/office/drawing/2014/chart" uri="{C3380CC4-5D6E-409C-BE32-E72D297353CC}">
              <c16:uniqueId val="{00000000-D29C-4EB0-A78C-0A4BA3F25514}"/>
            </c:ext>
          </c:extLst>
        </c:ser>
        <c:ser>
          <c:idx val="1"/>
          <c:order val="1"/>
          <c:tx>
            <c:strRef>
              <c:f>Sheet1!$A$3</c:f>
              <c:strCache>
                <c:ptCount val="1"/>
                <c:pt idx="0">
                  <c:v>Repeat Complaints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numRef>
              <c:f>Sheet1!$B$1:$M$1</c:f>
              <c:numCache>
                <c:formatCode>General</c:formatCode>
                <c:ptCount val="12"/>
                <c:pt idx="0">
                  <c:v>2005</c:v>
                </c:pt>
                <c:pt idx="1">
                  <c:v>2006</c:v>
                </c:pt>
                <c:pt idx="2">
                  <c:v>2007</c:v>
                </c:pt>
                <c:pt idx="3">
                  <c:v>2008</c:v>
                </c:pt>
                <c:pt idx="4">
                  <c:v>2009</c:v>
                </c:pt>
                <c:pt idx="5">
                  <c:v>2010</c:v>
                </c:pt>
                <c:pt idx="6">
                  <c:v>2011</c:v>
                </c:pt>
                <c:pt idx="7">
                  <c:v>2012</c:v>
                </c:pt>
                <c:pt idx="8">
                  <c:v>2013</c:v>
                </c:pt>
                <c:pt idx="9">
                  <c:v>2014</c:v>
                </c:pt>
                <c:pt idx="10">
                  <c:v>2015</c:v>
                </c:pt>
                <c:pt idx="11">
                  <c:v>2016</c:v>
                </c:pt>
              </c:numCache>
            </c:numRef>
          </c:cat>
          <c:val>
            <c:numRef>
              <c:f>Sheet1!$B$3:$M$3</c:f>
              <c:numCache>
                <c:formatCode>General</c:formatCode>
                <c:ptCount val="12"/>
                <c:pt idx="0">
                  <c:v>154</c:v>
                </c:pt>
                <c:pt idx="1">
                  <c:v>148</c:v>
                </c:pt>
                <c:pt idx="2">
                  <c:v>78</c:v>
                </c:pt>
                <c:pt idx="3">
                  <c:v>61</c:v>
                </c:pt>
                <c:pt idx="4">
                  <c:v>44</c:v>
                </c:pt>
                <c:pt idx="5">
                  <c:v>46</c:v>
                </c:pt>
                <c:pt idx="6">
                  <c:v>44</c:v>
                </c:pt>
                <c:pt idx="7">
                  <c:v>65</c:v>
                </c:pt>
                <c:pt idx="8">
                  <c:v>55</c:v>
                </c:pt>
                <c:pt idx="9">
                  <c:v>48</c:v>
                </c:pt>
                <c:pt idx="10">
                  <c:v>45</c:v>
                </c:pt>
                <c:pt idx="11">
                  <c:v>60</c:v>
                </c:pt>
              </c:numCache>
            </c:numRef>
          </c:val>
          <c:extLst>
            <c:ext xmlns:c16="http://schemas.microsoft.com/office/drawing/2014/chart" uri="{C3380CC4-5D6E-409C-BE32-E72D297353CC}">
              <c16:uniqueId val="{00000001-D29C-4EB0-A78C-0A4BA3F25514}"/>
            </c:ext>
          </c:extLst>
        </c:ser>
        <c:dLbls>
          <c:showLegendKey val="0"/>
          <c:showVal val="0"/>
          <c:showCatName val="0"/>
          <c:showSerName val="0"/>
          <c:showPercent val="0"/>
          <c:showBubbleSize val="0"/>
        </c:dLbls>
        <c:gapWidth val="150"/>
        <c:shape val="box"/>
        <c:axId val="2102744312"/>
        <c:axId val="2102855160"/>
        <c:axId val="0"/>
      </c:bar3DChart>
      <c:catAx>
        <c:axId val="2102744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2102855160"/>
        <c:crosses val="autoZero"/>
        <c:auto val="1"/>
        <c:lblAlgn val="ctr"/>
        <c:lblOffset val="100"/>
        <c:noMultiLvlLbl val="0"/>
      </c:catAx>
      <c:valAx>
        <c:axId val="2102855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210274431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50000"/>
                    <a:lumOff val="50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0.90775</cdr:x>
      <cdr:y>0.42815</cdr:y>
    </cdr:from>
    <cdr:to>
      <cdr:x>1</cdr:x>
      <cdr:y>0.6217</cdr:y>
    </cdr:to>
    <cdr:sp macro="" textlink="">
      <cdr:nvSpPr>
        <cdr:cNvPr id="2" name="TextBox 1"/>
        <cdr:cNvSpPr txBox="1"/>
      </cdr:nvSpPr>
      <cdr:spPr>
        <a:xfrm xmlns:a="http://schemas.openxmlformats.org/drawingml/2006/main">
          <a:off x="9287817" y="2022736"/>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dirty="0"/>
        </a:p>
      </cdr:txBody>
    </cdr:sp>
  </cdr:relSizeAnchor>
</c:userShapes>
</file>

<file path=word/drawings/drawing2.xml><?xml version="1.0" encoding="utf-8"?>
<c:userShapes xmlns:c="http://schemas.openxmlformats.org/drawingml/2006/chart">
  <cdr:relSizeAnchor xmlns:cdr="http://schemas.openxmlformats.org/drawingml/2006/chartDrawing">
    <cdr:from>
      <cdr:x>0.19213</cdr:x>
      <cdr:y>0.0825</cdr:y>
    </cdr:from>
    <cdr:to>
      <cdr:x>0.24535</cdr:x>
      <cdr:y>0.14286</cdr:y>
    </cdr:to>
    <cdr:sp macro="" textlink="">
      <cdr:nvSpPr>
        <cdr:cNvPr id="4" name="TextBox 3"/>
        <cdr:cNvSpPr txBox="1"/>
      </cdr:nvSpPr>
      <cdr:spPr>
        <a:xfrm xmlns:a="http://schemas.openxmlformats.org/drawingml/2006/main">
          <a:off x="1919087" y="383461"/>
          <a:ext cx="531612" cy="28059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dirty="0"/>
        </a:p>
      </cdr:txBody>
    </cdr:sp>
  </cdr:relSizeAnchor>
  <cdr:relSizeAnchor xmlns:cdr="http://schemas.openxmlformats.org/drawingml/2006/chartDrawing">
    <cdr:from>
      <cdr:x>0.59129</cdr:x>
      <cdr:y>0.20958</cdr:y>
    </cdr:from>
    <cdr:to>
      <cdr:x>0.68284</cdr:x>
      <cdr:y>0.40631</cdr:y>
    </cdr:to>
    <cdr:sp macro="" textlink="">
      <cdr:nvSpPr>
        <cdr:cNvPr id="6" name="TextBox 5"/>
        <cdr:cNvSpPr txBox="1"/>
      </cdr:nvSpPr>
      <cdr:spPr>
        <a:xfrm xmlns:a="http://schemas.openxmlformats.org/drawingml/2006/main">
          <a:off x="5906176" y="974191"/>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800" dirty="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3085</Words>
  <Characters>17590</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University of Nebraska-Lincoln</vt:lpstr>
    </vt:vector>
  </TitlesOfParts>
  <Company>University of Nebraska-Lincoln</Company>
  <LinksUpToDate>false</LinksUpToDate>
  <CharactersWithSpaces>20634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University of Nebraska-Lincoln</dc:title>
  <dc:subject/>
  <dc:creator>March 2017</dc:creator>
  <cp:keywords/>
  <dc:description/>
  <cp:lastModifiedBy>Linda Major</cp:lastModifiedBy>
  <cp:revision>2</cp:revision>
  <cp:lastPrinted>2017-03-08T16:01:00Z</cp:lastPrinted>
  <dcterms:created xsi:type="dcterms:W3CDTF">2017-04-25T19:47:00Z</dcterms:created>
  <dcterms:modified xsi:type="dcterms:W3CDTF">2017-04-25T19:47:00Z</dcterms:modified>
</cp:coreProperties>
</file>